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1A2" w:rsidRDefault="00F41EE5">
      <w:r>
        <w:rPr>
          <w:b/>
        </w:rPr>
        <w:t>‘</w:t>
      </w:r>
      <w:r w:rsidR="002236F6">
        <w:rPr>
          <w:b/>
        </w:rPr>
        <w:t>Investing in Yourself</w:t>
      </w:r>
      <w:r>
        <w:rPr>
          <w:b/>
        </w:rPr>
        <w:t>’</w:t>
      </w:r>
      <w:r w:rsidR="002236F6">
        <w:rPr>
          <w:b/>
        </w:rPr>
        <w:t xml:space="preserve">: </w:t>
      </w:r>
      <w:r w:rsidR="00F57267">
        <w:rPr>
          <w:b/>
        </w:rPr>
        <w:t>P</w:t>
      </w:r>
      <w:r w:rsidR="002236F6">
        <w:rPr>
          <w:b/>
        </w:rPr>
        <w:t xml:space="preserve">ersonal </w:t>
      </w:r>
      <w:r w:rsidR="00F57267">
        <w:rPr>
          <w:b/>
        </w:rPr>
        <w:t>D</w:t>
      </w:r>
      <w:r w:rsidR="002236F6">
        <w:rPr>
          <w:b/>
        </w:rPr>
        <w:t xml:space="preserve">evelopment </w:t>
      </w:r>
      <w:r w:rsidR="00F57267">
        <w:rPr>
          <w:b/>
        </w:rPr>
        <w:t>P</w:t>
      </w:r>
      <w:r w:rsidR="002236F6">
        <w:rPr>
          <w:b/>
        </w:rPr>
        <w:t>lanning</w:t>
      </w:r>
      <w:r w:rsidR="00F57267">
        <w:rPr>
          <w:b/>
        </w:rPr>
        <w:t xml:space="preserve"> </w:t>
      </w:r>
      <w:r w:rsidR="002236F6">
        <w:rPr>
          <w:b/>
        </w:rPr>
        <w:t>in Practice</w:t>
      </w:r>
    </w:p>
    <w:p w:rsidR="00C64C6E" w:rsidRDefault="00C64C6E"/>
    <w:p w:rsidR="00C64C6E" w:rsidRDefault="00C64C6E"/>
    <w:p w:rsidR="00C64C6E" w:rsidRPr="002307EF" w:rsidRDefault="00C64C6E">
      <w:r w:rsidRPr="00C64C6E">
        <w:rPr>
          <w:b/>
        </w:rPr>
        <w:t>Dr Faith Tucker</w:t>
      </w:r>
      <w:r w:rsidRPr="002307EF">
        <w:t>, School of Social Sciences, The University of Northampton</w:t>
      </w:r>
      <w:r w:rsidR="002307EF" w:rsidRPr="002307EF">
        <w:t>, email: faith.tucker@northampton.ac.uk</w:t>
      </w:r>
    </w:p>
    <w:p w:rsidR="00C64C6E" w:rsidRDefault="00C64C6E"/>
    <w:p w:rsidR="007066EA" w:rsidRDefault="007066EA">
      <w:r w:rsidRPr="002307EF">
        <w:rPr>
          <w:b/>
        </w:rPr>
        <w:t>Andrea Duncan</w:t>
      </w:r>
      <w:r w:rsidR="002307EF">
        <w:t xml:space="preserve">, </w:t>
      </w:r>
      <w:r w:rsidR="007F619E">
        <w:t>Department for Enhanced Learning, Teaching, Achievement and Employability</w:t>
      </w:r>
      <w:r w:rsidR="002307EF">
        <w:t>, The University of Northampton, email: andrea.duncan@northampton.ac.uk</w:t>
      </w:r>
    </w:p>
    <w:p w:rsidR="007066EA" w:rsidRDefault="007066EA"/>
    <w:p w:rsidR="007066EA" w:rsidRDefault="007066EA">
      <w:r w:rsidRPr="002307EF">
        <w:rPr>
          <w:b/>
        </w:rPr>
        <w:t>Linda Davis</w:t>
      </w:r>
      <w:r w:rsidR="002307EF">
        <w:t xml:space="preserve">, </w:t>
      </w:r>
      <w:r w:rsidR="007E767A">
        <w:t xml:space="preserve">Centre for </w:t>
      </w:r>
      <w:r w:rsidR="002307EF">
        <w:t>Community Volunteer</w:t>
      </w:r>
      <w:r w:rsidR="007E767A">
        <w:t>ing</w:t>
      </w:r>
      <w:r w:rsidR="002307EF">
        <w:t>, The University of Northampton, email: linda.davis@northampton.ac.uk</w:t>
      </w:r>
    </w:p>
    <w:p w:rsidR="007066EA" w:rsidRDefault="007066EA"/>
    <w:p w:rsidR="00C64C6E" w:rsidRDefault="00C64C6E"/>
    <w:p w:rsidR="00C64C6E" w:rsidRDefault="00C64C6E">
      <w:pPr>
        <w:rPr>
          <w:b/>
        </w:rPr>
      </w:pPr>
      <w:r w:rsidRPr="00C64C6E">
        <w:rPr>
          <w:b/>
        </w:rPr>
        <w:t>Abstract</w:t>
      </w:r>
    </w:p>
    <w:p w:rsidR="00C11F3C" w:rsidRDefault="00C11F3C"/>
    <w:p w:rsidR="00D47852" w:rsidRDefault="00D47852">
      <w:r>
        <w:t>The importance of Personal Development Planning (PDP) and student employability has been well documented in the GEES disciplines.  This paper considers feedback from Level 6 geography students at The University of Northampton who have completed a 10-credit module which included career planning, a short teaching placement and the completion of a reflective diary.  The paper outlines the tangible and ‘hard to capture’ benefits identified by three cohorts of students and highlights the value of individual programmes of study in helping students engage with PDP.</w:t>
      </w:r>
    </w:p>
    <w:p w:rsidR="00C11F3C" w:rsidRDefault="00C11F3C"/>
    <w:p w:rsidR="00C64C6E" w:rsidRDefault="00C64C6E"/>
    <w:p w:rsidR="00C64C6E" w:rsidRPr="00C64C6E" w:rsidRDefault="00C64C6E">
      <w:pPr>
        <w:rPr>
          <w:b/>
        </w:rPr>
      </w:pPr>
      <w:r w:rsidRPr="00C64C6E">
        <w:rPr>
          <w:b/>
        </w:rPr>
        <w:t>Introduction</w:t>
      </w:r>
    </w:p>
    <w:p w:rsidR="00C64C6E" w:rsidRDefault="00C64C6E"/>
    <w:p w:rsidR="00DB29BD" w:rsidRDefault="00DB29BD" w:rsidP="00B31435">
      <w:r>
        <w:t xml:space="preserve">Gedye </w:t>
      </w:r>
      <w:r w:rsidRPr="00DB29BD">
        <w:rPr>
          <w:i/>
        </w:rPr>
        <w:t>et al</w:t>
      </w:r>
      <w:r>
        <w:t xml:space="preserve">. (2004) note the increased pressure in recent years within </w:t>
      </w:r>
      <w:r w:rsidR="007F619E">
        <w:t>higher education</w:t>
      </w:r>
      <w:r>
        <w:t xml:space="preserve"> in the UK to help students prepare for the </w:t>
      </w:r>
      <w:r w:rsidR="00DF00BD">
        <w:t>‘</w:t>
      </w:r>
      <w:r>
        <w:t>world of work</w:t>
      </w:r>
      <w:r w:rsidR="00DF00BD">
        <w:t>’</w:t>
      </w:r>
      <w:r>
        <w:t xml:space="preserve">.  </w:t>
      </w:r>
      <w:r w:rsidR="00B31435" w:rsidRPr="00B31435">
        <w:t xml:space="preserve">A number of innovative curriculum developments </w:t>
      </w:r>
      <w:r w:rsidRPr="00B31435">
        <w:t xml:space="preserve">have taken place </w:t>
      </w:r>
      <w:r w:rsidR="00B31435" w:rsidRPr="00B31435">
        <w:t>within the GEES disciplines to help students to develop transferable skills and enhance their employability, through work-related learning programmes, career planning and reflective practice (</w:t>
      </w:r>
      <w:r w:rsidR="00D01E34">
        <w:t xml:space="preserve">e.g. </w:t>
      </w:r>
      <w:r w:rsidR="00D01E34" w:rsidRPr="00B31435">
        <w:t>Tomkins, 2004</w:t>
      </w:r>
      <w:r w:rsidR="00292997">
        <w:t>).</w:t>
      </w:r>
      <w:r w:rsidR="005A2D64">
        <w:t xml:space="preserve">  As part of this, </w:t>
      </w:r>
      <w:r w:rsidR="00D01E34">
        <w:t xml:space="preserve">HE </w:t>
      </w:r>
      <w:r w:rsidR="005A2D64">
        <w:t xml:space="preserve">institutions have taken a </w:t>
      </w:r>
      <w:r w:rsidR="00D01E34">
        <w:t>variety</w:t>
      </w:r>
      <w:r w:rsidR="005A2D64">
        <w:t xml:space="preserve"> of approaches to embed PDP in the undergraduate curriculum (</w:t>
      </w:r>
      <w:proofErr w:type="spellStart"/>
      <w:r w:rsidR="005A2D64">
        <w:t>Lumsden</w:t>
      </w:r>
      <w:proofErr w:type="spellEnd"/>
      <w:r w:rsidR="005A2D64">
        <w:t>, 2005).</w:t>
      </w:r>
    </w:p>
    <w:p w:rsidR="00DB29BD" w:rsidRDefault="00DB29BD" w:rsidP="00B31435"/>
    <w:p w:rsidR="003B6C6D" w:rsidRDefault="003B6C6D" w:rsidP="003B6C6D">
      <w:r>
        <w:t xml:space="preserve">The definition of PDP adopted by QAA (no date, p.8) is ‘a structured and supported process undertaken by an individual to reflect on their own learning, performance and/or achievement and to plan for their personal, educational and career development’.  </w:t>
      </w:r>
      <w:r w:rsidRPr="00B31435">
        <w:t xml:space="preserve">Building upon previous work within the GEES disciplines at The University of Northampton on the integration of PDP within the curriculum (Duncan </w:t>
      </w:r>
      <w:r>
        <w:t>and</w:t>
      </w:r>
      <w:r w:rsidRPr="00B31435">
        <w:t xml:space="preserve"> </w:t>
      </w:r>
      <w:proofErr w:type="spellStart"/>
      <w:r w:rsidRPr="00B31435">
        <w:t>Weatherston</w:t>
      </w:r>
      <w:proofErr w:type="spellEnd"/>
      <w:r w:rsidRPr="00B31435">
        <w:t xml:space="preserve">, 2001), </w:t>
      </w:r>
      <w:r>
        <w:t xml:space="preserve">a 10-credit Level 6 module was developed to </w:t>
      </w:r>
      <w:r w:rsidRPr="00B31435">
        <w:t>help geography undergraduates to recognise and develop their skills through reflection and practice</w:t>
      </w:r>
      <w:r>
        <w:t>.  At Levels 4 and 5 students are introduced to PDP and the process of reflection, through class activities and web-based learning resources.  This new Level 6 module provides an alternative to a more ‘generic’ career planning module for Geography and Environmental Science students.</w:t>
      </w:r>
    </w:p>
    <w:p w:rsidR="003B6C6D" w:rsidRDefault="003B6C6D" w:rsidP="003B6C6D"/>
    <w:p w:rsidR="003B6C6D" w:rsidRPr="00B31435" w:rsidRDefault="003B6C6D" w:rsidP="003B6C6D">
      <w:r>
        <w:t xml:space="preserve">PDP was embedded in the module, in which students were required to </w:t>
      </w:r>
      <w:r w:rsidRPr="00B31435">
        <w:t>apply for and undertak</w:t>
      </w:r>
      <w:r>
        <w:t>e</w:t>
      </w:r>
      <w:r w:rsidRPr="00B31435">
        <w:t xml:space="preserve"> a role in facilitating the geographical learning of others</w:t>
      </w:r>
      <w:r>
        <w:t>.  Through this</w:t>
      </w:r>
      <w:r w:rsidRPr="00B31435">
        <w:t xml:space="preserve"> </w:t>
      </w:r>
      <w:r w:rsidR="00F67400">
        <w:t xml:space="preserve">process </w:t>
      </w:r>
      <w:r w:rsidRPr="00B31435">
        <w:t>students would develop skills of reflection, analysis</w:t>
      </w:r>
      <w:r>
        <w:t xml:space="preserve"> and</w:t>
      </w:r>
      <w:r w:rsidRPr="00B31435">
        <w:t xml:space="preserve"> presentation, </w:t>
      </w:r>
      <w:r>
        <w:t xml:space="preserve">and </w:t>
      </w:r>
      <w:r w:rsidRPr="00B31435">
        <w:t>gain valuable work experience.</w:t>
      </w:r>
      <w:r>
        <w:t xml:space="preserve">  </w:t>
      </w:r>
      <w:r w:rsidRPr="00B31435">
        <w:t>The project built upon existing work on ‘geographers as teachers’ (Gibson, 2003) by providing opportunities for undergraduate students to gain experience of facilitating others’ learning in a range of work-based contexts.</w:t>
      </w:r>
      <w:r>
        <w:t xml:space="preserve">  Drawing upon the experiences of three cohorts of students who have completed this </w:t>
      </w:r>
      <w:r>
        <w:lastRenderedPageBreak/>
        <w:t>module, this paper explores how PDP is experienced in practice.  A series of tangible and ‘hard to capture’ benefits are outlined.</w:t>
      </w:r>
    </w:p>
    <w:p w:rsidR="002307EF" w:rsidRPr="00B121D0" w:rsidRDefault="002307EF" w:rsidP="002307EF">
      <w:pPr>
        <w:pStyle w:val="Level1"/>
        <w:tabs>
          <w:tab w:val="left" w:pos="720"/>
        </w:tabs>
        <w:ind w:left="0"/>
        <w:jc w:val="left"/>
        <w:rPr>
          <w:rFonts w:ascii="Verdana" w:hAnsi="Verdana"/>
          <w:sz w:val="22"/>
          <w:szCs w:val="22"/>
        </w:rPr>
      </w:pPr>
    </w:p>
    <w:p w:rsidR="007A69D6" w:rsidRDefault="007A69D6" w:rsidP="002307EF"/>
    <w:p w:rsidR="007A69D6" w:rsidRPr="00B121D0" w:rsidRDefault="007A69D6" w:rsidP="002307EF">
      <w:r>
        <w:rPr>
          <w:b/>
        </w:rPr>
        <w:t>About the Module</w:t>
      </w:r>
    </w:p>
    <w:p w:rsidR="002A47EE" w:rsidRPr="00B121D0" w:rsidRDefault="002A47EE" w:rsidP="002A47EE">
      <w:pPr>
        <w:pStyle w:val="Level1"/>
        <w:tabs>
          <w:tab w:val="left" w:pos="720"/>
        </w:tabs>
        <w:ind w:left="0"/>
        <w:jc w:val="left"/>
        <w:rPr>
          <w:rFonts w:ascii="Verdana" w:hAnsi="Verdana"/>
          <w:sz w:val="22"/>
          <w:szCs w:val="22"/>
        </w:rPr>
      </w:pPr>
    </w:p>
    <w:tbl>
      <w:tblPr>
        <w:tblW w:w="0" w:type="auto"/>
        <w:jc w:val="center"/>
        <w:tblBorders>
          <w:top w:val="single" w:sz="4" w:space="0" w:color="auto"/>
          <w:left w:val="single" w:sz="4" w:space="0" w:color="auto"/>
          <w:bottom w:val="single" w:sz="4" w:space="0" w:color="auto"/>
          <w:right w:val="single" w:sz="4" w:space="0" w:color="auto"/>
        </w:tblBorders>
        <w:tblLook w:val="01E0"/>
      </w:tblPr>
      <w:tblGrid>
        <w:gridCol w:w="1985"/>
        <w:gridCol w:w="6521"/>
      </w:tblGrid>
      <w:tr w:rsidR="002A47EE" w:rsidTr="00177E10">
        <w:trPr>
          <w:jc w:val="center"/>
        </w:trPr>
        <w:tc>
          <w:tcPr>
            <w:tcW w:w="1985" w:type="dxa"/>
          </w:tcPr>
          <w:p w:rsidR="002551E9" w:rsidRDefault="002551E9" w:rsidP="00284F9E"/>
          <w:p w:rsidR="002A47EE" w:rsidRDefault="002A47EE" w:rsidP="00284F9E">
            <w:r>
              <w:t>Title:</w:t>
            </w:r>
          </w:p>
        </w:tc>
        <w:tc>
          <w:tcPr>
            <w:tcW w:w="6521" w:type="dxa"/>
          </w:tcPr>
          <w:p w:rsidR="002551E9" w:rsidRDefault="002551E9" w:rsidP="00284F9E"/>
          <w:p w:rsidR="002A47EE" w:rsidRDefault="002A47EE" w:rsidP="00284F9E">
            <w:r>
              <w:t>Learning and Teaching in the Geography Curriculum</w:t>
            </w:r>
          </w:p>
          <w:p w:rsidR="00AB3FC9" w:rsidRDefault="00AB3FC9" w:rsidP="00284F9E"/>
        </w:tc>
      </w:tr>
      <w:tr w:rsidR="002A47EE" w:rsidTr="00177E10">
        <w:trPr>
          <w:jc w:val="center"/>
        </w:trPr>
        <w:tc>
          <w:tcPr>
            <w:tcW w:w="1985" w:type="dxa"/>
          </w:tcPr>
          <w:p w:rsidR="002A47EE" w:rsidRDefault="002A47EE" w:rsidP="00284F9E">
            <w:r>
              <w:t>Credits:</w:t>
            </w:r>
          </w:p>
        </w:tc>
        <w:tc>
          <w:tcPr>
            <w:tcW w:w="6521" w:type="dxa"/>
          </w:tcPr>
          <w:p w:rsidR="002A47EE" w:rsidRDefault="002A47EE" w:rsidP="00284F9E">
            <w:r>
              <w:t>10 credits at Level 6</w:t>
            </w:r>
          </w:p>
          <w:p w:rsidR="00AB3FC9" w:rsidRDefault="00AB3FC9" w:rsidP="00284F9E"/>
        </w:tc>
      </w:tr>
      <w:tr w:rsidR="002A47EE" w:rsidTr="00177E10">
        <w:trPr>
          <w:jc w:val="center"/>
        </w:trPr>
        <w:tc>
          <w:tcPr>
            <w:tcW w:w="1985" w:type="dxa"/>
          </w:tcPr>
          <w:p w:rsidR="002A47EE" w:rsidRDefault="002A47EE" w:rsidP="00284F9E">
            <w:r>
              <w:t>Availability:</w:t>
            </w:r>
          </w:p>
        </w:tc>
        <w:tc>
          <w:tcPr>
            <w:tcW w:w="6521" w:type="dxa"/>
          </w:tcPr>
          <w:p w:rsidR="002A47EE" w:rsidRDefault="002A47EE" w:rsidP="00284F9E">
            <w:r>
              <w:t>optional module for Single Honours Geography students and Joint Honours students majoring in Human Geography</w:t>
            </w:r>
          </w:p>
          <w:p w:rsidR="00AB3FC9" w:rsidRDefault="00AB3FC9" w:rsidP="00284F9E"/>
        </w:tc>
      </w:tr>
      <w:tr w:rsidR="002A47EE" w:rsidTr="00177E10">
        <w:trPr>
          <w:jc w:val="center"/>
        </w:trPr>
        <w:tc>
          <w:tcPr>
            <w:tcW w:w="1985" w:type="dxa"/>
          </w:tcPr>
          <w:p w:rsidR="002A47EE" w:rsidRDefault="002A47EE" w:rsidP="00284F9E">
            <w:r>
              <w:t>Format:</w:t>
            </w:r>
          </w:p>
        </w:tc>
        <w:tc>
          <w:tcPr>
            <w:tcW w:w="6521" w:type="dxa"/>
          </w:tcPr>
          <w:p w:rsidR="002A47EE" w:rsidRDefault="002A47EE" w:rsidP="00284F9E">
            <w:r>
              <w:t>10 x 2 hour workshops</w:t>
            </w:r>
          </w:p>
          <w:p w:rsidR="002A47EE" w:rsidRDefault="002A47EE" w:rsidP="00284F9E">
            <w:r>
              <w:t xml:space="preserve">1 x 15 hour ‘teaching placement’ in a local primary or secondary school, or with Level 4 or 5 </w:t>
            </w:r>
            <w:r w:rsidR="00DF00BD">
              <w:t>g</w:t>
            </w:r>
            <w:r>
              <w:t xml:space="preserve">eography classes at the </w:t>
            </w:r>
            <w:r w:rsidR="00F67400">
              <w:t>U</w:t>
            </w:r>
            <w:r>
              <w:t>niversity</w:t>
            </w:r>
          </w:p>
          <w:p w:rsidR="00AB3FC9" w:rsidRDefault="00AB3FC9" w:rsidP="00284F9E"/>
        </w:tc>
      </w:tr>
      <w:tr w:rsidR="002A47EE" w:rsidTr="00177E10">
        <w:trPr>
          <w:jc w:val="center"/>
        </w:trPr>
        <w:tc>
          <w:tcPr>
            <w:tcW w:w="1985" w:type="dxa"/>
          </w:tcPr>
          <w:p w:rsidR="002A47EE" w:rsidRDefault="002A47EE" w:rsidP="00284F9E">
            <w:r>
              <w:t>Assessment:</w:t>
            </w:r>
          </w:p>
        </w:tc>
        <w:tc>
          <w:tcPr>
            <w:tcW w:w="6521" w:type="dxa"/>
          </w:tcPr>
          <w:p w:rsidR="002A47EE" w:rsidRDefault="002A47EE" w:rsidP="00284F9E">
            <w:r>
              <w:t>application exercise; reflective diary</w:t>
            </w:r>
          </w:p>
          <w:p w:rsidR="00AB3FC9" w:rsidRDefault="00AB3FC9" w:rsidP="00284F9E"/>
        </w:tc>
      </w:tr>
      <w:tr w:rsidR="002A47EE" w:rsidTr="00177E10">
        <w:trPr>
          <w:jc w:val="center"/>
        </w:trPr>
        <w:tc>
          <w:tcPr>
            <w:tcW w:w="1985" w:type="dxa"/>
          </w:tcPr>
          <w:p w:rsidR="002A47EE" w:rsidRDefault="002A47EE" w:rsidP="00284F9E">
            <w:r>
              <w:t>Size of group:</w:t>
            </w:r>
          </w:p>
        </w:tc>
        <w:tc>
          <w:tcPr>
            <w:tcW w:w="6521" w:type="dxa"/>
          </w:tcPr>
          <w:p w:rsidR="002551E9" w:rsidRDefault="002A47EE" w:rsidP="00284F9E">
            <w:r>
              <w:t>typically 8 students</w:t>
            </w:r>
          </w:p>
          <w:p w:rsidR="002551E9" w:rsidRDefault="002551E9" w:rsidP="00284F9E"/>
        </w:tc>
      </w:tr>
    </w:tbl>
    <w:p w:rsidR="002307EF" w:rsidRDefault="002A47EE" w:rsidP="00DF00BD">
      <w:pPr>
        <w:pStyle w:val="Level1"/>
        <w:tabs>
          <w:tab w:val="left" w:pos="720"/>
        </w:tabs>
        <w:jc w:val="left"/>
        <w:rPr>
          <w:rFonts w:ascii="Verdana" w:hAnsi="Verdana"/>
          <w:sz w:val="22"/>
          <w:szCs w:val="22"/>
        </w:rPr>
      </w:pPr>
      <w:r>
        <w:rPr>
          <w:rFonts w:ascii="Verdana" w:hAnsi="Verdana"/>
          <w:sz w:val="22"/>
          <w:szCs w:val="22"/>
        </w:rPr>
        <w:t>Table 1 Outline of th</w:t>
      </w:r>
      <w:r w:rsidR="00AE6755">
        <w:rPr>
          <w:rFonts w:ascii="Verdana" w:hAnsi="Verdana"/>
          <w:sz w:val="22"/>
          <w:szCs w:val="22"/>
        </w:rPr>
        <w:t>is work-based learning</w:t>
      </w:r>
      <w:r>
        <w:rPr>
          <w:rFonts w:ascii="Verdana" w:hAnsi="Verdana"/>
          <w:sz w:val="22"/>
          <w:szCs w:val="22"/>
        </w:rPr>
        <w:t xml:space="preserve"> module</w:t>
      </w:r>
    </w:p>
    <w:p w:rsidR="002A47EE" w:rsidRDefault="002A47EE" w:rsidP="002307EF">
      <w:pPr>
        <w:pStyle w:val="Level1"/>
        <w:tabs>
          <w:tab w:val="left" w:pos="720"/>
        </w:tabs>
        <w:ind w:left="0"/>
        <w:jc w:val="left"/>
        <w:rPr>
          <w:rFonts w:ascii="Verdana" w:hAnsi="Verdana"/>
          <w:sz w:val="22"/>
          <w:szCs w:val="22"/>
        </w:rPr>
      </w:pPr>
    </w:p>
    <w:p w:rsidR="007A69D6" w:rsidRDefault="002A47EE" w:rsidP="007A69D6">
      <w:r>
        <w:t>Th</w:t>
      </w:r>
      <w:r w:rsidR="007E767A">
        <w:t>is</w:t>
      </w:r>
      <w:r>
        <w:t xml:space="preserve"> module involved a series of career planning workshops led by staff from the </w:t>
      </w:r>
      <w:r w:rsidR="00F67400">
        <w:t>U</w:t>
      </w:r>
      <w:r>
        <w:t>niversity’s Careers Service (Table 2).  The GEES employability profile (</w:t>
      </w:r>
      <w:hyperlink r:id="rId8" w:history="1">
        <w:r w:rsidR="00B87CA5" w:rsidRPr="004F4EC9">
          <w:rPr>
            <w:rStyle w:val="Hyperlink"/>
          </w:rPr>
          <w:t>http://www.gees.ac.uk/projtheme/emp/empprofs.htm</w:t>
        </w:r>
      </w:hyperlink>
      <w:r>
        <w:t>) was used to help students identify their skills and knowledge.</w:t>
      </w:r>
    </w:p>
    <w:p w:rsidR="002A47EE" w:rsidRDefault="002A47EE" w:rsidP="002A47E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05"/>
      </w:tblGrid>
      <w:tr w:rsidR="002A47EE" w:rsidTr="00177E10">
        <w:trPr>
          <w:jc w:val="center"/>
        </w:trPr>
        <w:tc>
          <w:tcPr>
            <w:tcW w:w="8505" w:type="dxa"/>
          </w:tcPr>
          <w:p w:rsidR="002551E9" w:rsidRPr="002551E9" w:rsidRDefault="002551E9" w:rsidP="00284F9E"/>
          <w:p w:rsidR="002A47EE" w:rsidRDefault="002A47EE" w:rsidP="00284F9E">
            <w:pPr>
              <w:rPr>
                <w:b/>
              </w:rPr>
            </w:pPr>
            <w:r w:rsidRPr="00177E10">
              <w:rPr>
                <w:b/>
              </w:rPr>
              <w:t xml:space="preserve">Examples of learning support materials provided by the </w:t>
            </w:r>
            <w:r w:rsidR="00F67400">
              <w:rPr>
                <w:b/>
              </w:rPr>
              <w:t>U</w:t>
            </w:r>
            <w:r w:rsidRPr="00177E10">
              <w:rPr>
                <w:b/>
              </w:rPr>
              <w:t>niversity’s Careers Service:</w:t>
            </w:r>
          </w:p>
          <w:p w:rsidR="002551E9" w:rsidRPr="002551E9" w:rsidRDefault="002551E9" w:rsidP="00284F9E"/>
          <w:p w:rsidR="002A47EE" w:rsidRDefault="002A47EE" w:rsidP="00177E10">
            <w:pPr>
              <w:numPr>
                <w:ilvl w:val="0"/>
                <w:numId w:val="12"/>
              </w:numPr>
            </w:pPr>
            <w:r>
              <w:t>preparing applications and for interviews, drafting a CV</w:t>
            </w:r>
          </w:p>
          <w:p w:rsidR="002A47EE" w:rsidRDefault="002A47EE" w:rsidP="00177E10">
            <w:pPr>
              <w:numPr>
                <w:ilvl w:val="0"/>
                <w:numId w:val="12"/>
              </w:numPr>
            </w:pPr>
            <w:r>
              <w:t>writing reflective accounts, making the most of your placement, summarising what you have learned from an experience and presenting this to others</w:t>
            </w:r>
          </w:p>
          <w:p w:rsidR="002A47EE" w:rsidRDefault="002A47EE" w:rsidP="00177E10">
            <w:pPr>
              <w:numPr>
                <w:ilvl w:val="0"/>
                <w:numId w:val="12"/>
              </w:numPr>
            </w:pPr>
            <w:r>
              <w:t>identifying suitable volunteering experience for teaching</w:t>
            </w:r>
          </w:p>
          <w:p w:rsidR="002551E9" w:rsidRDefault="002551E9" w:rsidP="002551E9"/>
        </w:tc>
      </w:tr>
    </w:tbl>
    <w:p w:rsidR="007A69D6" w:rsidRDefault="002A47EE" w:rsidP="00DF00BD">
      <w:pPr>
        <w:pStyle w:val="Level1"/>
        <w:tabs>
          <w:tab w:val="left" w:pos="720"/>
        </w:tabs>
        <w:jc w:val="left"/>
        <w:rPr>
          <w:rFonts w:ascii="Verdana" w:hAnsi="Verdana"/>
          <w:sz w:val="22"/>
          <w:szCs w:val="22"/>
        </w:rPr>
      </w:pPr>
      <w:r>
        <w:rPr>
          <w:rFonts w:ascii="Verdana" w:hAnsi="Verdana"/>
          <w:sz w:val="22"/>
          <w:szCs w:val="22"/>
        </w:rPr>
        <w:t xml:space="preserve">Table 2 Learning </w:t>
      </w:r>
      <w:r w:rsidR="00F67400">
        <w:rPr>
          <w:rFonts w:ascii="Verdana" w:hAnsi="Verdana"/>
          <w:sz w:val="22"/>
          <w:szCs w:val="22"/>
        </w:rPr>
        <w:t>support materials provided the U</w:t>
      </w:r>
      <w:r>
        <w:rPr>
          <w:rFonts w:ascii="Verdana" w:hAnsi="Verdana"/>
          <w:sz w:val="22"/>
          <w:szCs w:val="22"/>
        </w:rPr>
        <w:t>niversity’s Careers Service.</w:t>
      </w:r>
    </w:p>
    <w:p w:rsidR="002A47EE" w:rsidRDefault="002A47EE" w:rsidP="002307EF">
      <w:pPr>
        <w:pStyle w:val="Level1"/>
        <w:tabs>
          <w:tab w:val="left" w:pos="720"/>
        </w:tabs>
        <w:ind w:left="0"/>
        <w:jc w:val="left"/>
        <w:rPr>
          <w:rFonts w:ascii="Verdana" w:hAnsi="Verdana"/>
          <w:sz w:val="22"/>
          <w:szCs w:val="22"/>
        </w:rPr>
      </w:pPr>
    </w:p>
    <w:p w:rsidR="00CD56B4" w:rsidRDefault="002A47EE" w:rsidP="00CD56B4">
      <w:r>
        <w:t>Following these workshops</w:t>
      </w:r>
      <w:r w:rsidR="00AE6755">
        <w:t>,</w:t>
      </w:r>
      <w:r>
        <w:t xml:space="preserve"> students applied for a short placement as a ‘learning facilitator’.  Placements were available to work with students in local primary or secondary schools, and with Level 4 or 5 geography students at the </w:t>
      </w:r>
      <w:r w:rsidR="00F67400">
        <w:t>U</w:t>
      </w:r>
      <w:r>
        <w:t>niversity.  Students were required to complete a graduate-level application form, prepare a CV and write a covering letter.  Placements were allocated to students on the basis of their application and performance during a 15</w:t>
      </w:r>
      <w:r w:rsidR="00DF00BD">
        <w:t>-</w:t>
      </w:r>
      <w:r>
        <w:t xml:space="preserve">minute interview.  To make the interview process as ‘real’ as possible, the panel consisted of two members of academic staff from other subject areas who had experience of interviewing, with the module tutor </w:t>
      </w:r>
      <w:r w:rsidR="00DF00BD">
        <w:t>taking notes</w:t>
      </w:r>
      <w:r>
        <w:t>.</w:t>
      </w:r>
      <w:r w:rsidR="00284F9E">
        <w:t xml:space="preserve">  Support in setting up suitable placements was provided by the </w:t>
      </w:r>
      <w:r w:rsidR="007E767A">
        <w:t>manager</w:t>
      </w:r>
      <w:r w:rsidR="00284F9E">
        <w:t xml:space="preserve"> of the </w:t>
      </w:r>
      <w:r w:rsidR="00F67400" w:rsidRPr="00CD56B4">
        <w:t>U</w:t>
      </w:r>
      <w:r w:rsidR="00284F9E" w:rsidRPr="00CD56B4">
        <w:t>niversity’s nationally</w:t>
      </w:r>
      <w:r w:rsidR="00F67400" w:rsidRPr="00CD56B4">
        <w:t>-</w:t>
      </w:r>
      <w:r w:rsidR="00284F9E" w:rsidRPr="00CD56B4">
        <w:t xml:space="preserve">recognised </w:t>
      </w:r>
      <w:r w:rsidR="007E767A" w:rsidRPr="00CD56B4">
        <w:t xml:space="preserve">Centre for </w:t>
      </w:r>
      <w:r w:rsidR="00284F9E" w:rsidRPr="00CD56B4">
        <w:t>Community</w:t>
      </w:r>
      <w:r w:rsidR="00284F9E">
        <w:t xml:space="preserve"> Volunteer</w:t>
      </w:r>
      <w:r w:rsidR="007E767A">
        <w:t>ing</w:t>
      </w:r>
      <w:r w:rsidR="00284F9E">
        <w:t xml:space="preserve"> (Table 3).</w:t>
      </w:r>
      <w:r w:rsidR="00CD56B4">
        <w:t xml:space="preserve">  (The role of the Centre is to facilitate voluntary work by staff </w:t>
      </w:r>
      <w:r w:rsidR="00CD56B4">
        <w:lastRenderedPageBreak/>
        <w:t>and students with a diverse range of community groups, local organisations and charities.)</w:t>
      </w:r>
    </w:p>
    <w:p w:rsidR="002A47EE" w:rsidRDefault="002A47EE" w:rsidP="002307EF">
      <w:pPr>
        <w:pStyle w:val="Level1"/>
        <w:tabs>
          <w:tab w:val="left" w:pos="720"/>
        </w:tabs>
        <w:ind w:left="0"/>
        <w:jc w:val="left"/>
        <w:rPr>
          <w:rFonts w:ascii="Verdana" w:hAnsi="Verdana"/>
          <w:sz w:val="22"/>
          <w:szCs w:val="22"/>
        </w:rPr>
      </w:pPr>
    </w:p>
    <w:p w:rsidR="00CD56B4" w:rsidRDefault="00CD56B4" w:rsidP="002307EF">
      <w:pPr>
        <w:pStyle w:val="Level1"/>
        <w:tabs>
          <w:tab w:val="left" w:pos="720"/>
        </w:tabs>
        <w:ind w:left="0"/>
        <w:jc w:val="left"/>
        <w:rPr>
          <w:rFonts w:ascii="Verdana" w:hAnsi="Verdana"/>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05"/>
      </w:tblGrid>
      <w:tr w:rsidR="000D1DC4" w:rsidTr="00177E10">
        <w:trPr>
          <w:jc w:val="center"/>
        </w:trPr>
        <w:tc>
          <w:tcPr>
            <w:tcW w:w="8505" w:type="dxa"/>
          </w:tcPr>
          <w:p w:rsidR="002551E9" w:rsidRPr="002551E9" w:rsidRDefault="002551E9" w:rsidP="000D1DC4"/>
          <w:p w:rsidR="000D1DC4" w:rsidRDefault="000D1DC4" w:rsidP="000D1DC4">
            <w:pPr>
              <w:rPr>
                <w:b/>
              </w:rPr>
            </w:pPr>
            <w:r w:rsidRPr="00177E10">
              <w:rPr>
                <w:b/>
              </w:rPr>
              <w:t xml:space="preserve">Examples of support provided by the </w:t>
            </w:r>
            <w:r w:rsidR="00F67400">
              <w:rPr>
                <w:b/>
              </w:rPr>
              <w:t>U</w:t>
            </w:r>
            <w:r w:rsidRPr="00177E10">
              <w:rPr>
                <w:b/>
              </w:rPr>
              <w:t xml:space="preserve">niversity’s </w:t>
            </w:r>
            <w:r w:rsidR="007E767A" w:rsidRPr="00177E10">
              <w:rPr>
                <w:b/>
              </w:rPr>
              <w:t xml:space="preserve">Centre for </w:t>
            </w:r>
            <w:r w:rsidRPr="00177E10">
              <w:rPr>
                <w:b/>
              </w:rPr>
              <w:t>Community Volunteer</w:t>
            </w:r>
            <w:r w:rsidR="007E767A" w:rsidRPr="00177E10">
              <w:rPr>
                <w:b/>
              </w:rPr>
              <w:t>ing</w:t>
            </w:r>
            <w:r w:rsidRPr="00177E10">
              <w:rPr>
                <w:b/>
              </w:rPr>
              <w:t>:</w:t>
            </w:r>
          </w:p>
          <w:p w:rsidR="002551E9" w:rsidRPr="002551E9" w:rsidRDefault="002551E9" w:rsidP="000D1DC4"/>
          <w:p w:rsidR="000D1DC4" w:rsidRDefault="000D1DC4" w:rsidP="00177E10">
            <w:pPr>
              <w:numPr>
                <w:ilvl w:val="0"/>
                <w:numId w:val="13"/>
              </w:numPr>
            </w:pPr>
            <w:r>
              <w:t>advice on setting up placements, working with partners</w:t>
            </w:r>
            <w:r w:rsidR="00DF00BD">
              <w:t>, and</w:t>
            </w:r>
            <w:r>
              <w:t xml:space="preserve"> supporting students’ </w:t>
            </w:r>
            <w:r w:rsidR="00B81421">
              <w:t>placements</w:t>
            </w:r>
          </w:p>
          <w:p w:rsidR="000D1DC4" w:rsidRDefault="000D1DC4" w:rsidP="00177E10">
            <w:pPr>
              <w:numPr>
                <w:ilvl w:val="0"/>
                <w:numId w:val="13"/>
              </w:numPr>
            </w:pPr>
            <w:r>
              <w:t>evaluating the suita</w:t>
            </w:r>
            <w:r w:rsidR="00DF00BD">
              <w:t>bility of placements</w:t>
            </w:r>
          </w:p>
          <w:p w:rsidR="002551E9" w:rsidRDefault="002551E9" w:rsidP="002551E9"/>
        </w:tc>
      </w:tr>
    </w:tbl>
    <w:p w:rsidR="00606809" w:rsidRDefault="00284F9E" w:rsidP="00DF00BD">
      <w:pPr>
        <w:ind w:left="720"/>
      </w:pPr>
      <w:r>
        <w:t xml:space="preserve">Table 3 Support provided by the </w:t>
      </w:r>
      <w:r w:rsidR="007E767A">
        <w:t xml:space="preserve">Centre for </w:t>
      </w:r>
      <w:r>
        <w:t>Community Volunteer</w:t>
      </w:r>
      <w:r w:rsidR="007E767A">
        <w:t>ing</w:t>
      </w:r>
    </w:p>
    <w:p w:rsidR="00284F9E" w:rsidRDefault="00284F9E" w:rsidP="00606809"/>
    <w:p w:rsidR="00606809" w:rsidRDefault="00606809" w:rsidP="00606809">
      <w:r>
        <w:t xml:space="preserve">Kneale (2007, p. 33) notes that there </w:t>
      </w:r>
      <w:r w:rsidR="00DF00BD">
        <w:t>‘</w:t>
      </w:r>
      <w:r>
        <w:t>can never be one approach to personal planning, and what is effective for one p</w:t>
      </w:r>
      <w:r w:rsidR="007F619E">
        <w:t>erson</w:t>
      </w:r>
      <w:r>
        <w:t xml:space="preserve"> probably will not work for the next</w:t>
      </w:r>
      <w:r w:rsidR="00DF00BD">
        <w:t>’</w:t>
      </w:r>
      <w:r>
        <w:t>.</w:t>
      </w:r>
      <w:r w:rsidR="005122E7">
        <w:t xml:space="preserve">  In recognition of the diversity of needs</w:t>
      </w:r>
      <w:r w:rsidR="00DF00BD">
        <w:t>/</w:t>
      </w:r>
      <w:r w:rsidR="005122E7">
        <w:t>wants of the students, the module was designed to allow them to follow an individually-designed programme of learning, whilst all achieving the specified learning outcomes of the module</w:t>
      </w:r>
      <w:r w:rsidR="007F619E">
        <w:t xml:space="preserve"> (Table 4)</w:t>
      </w:r>
      <w:r w:rsidR="005122E7">
        <w:t>.  Each placement was to involve around 15 hours contact time.  Each student individually negotiated a programme for the placement.  Some chose to work with small groups, others to present materials to a whole class.  Some chose to deliver materials prepared by a teacher/tutor, others developed materials for the teacher/tutor to deliver.  Students were encouraged to reflect on what they wanted to achieve from the module and to organise their placement accordingly.</w:t>
      </w:r>
    </w:p>
    <w:p w:rsidR="007F619E" w:rsidRDefault="007F619E" w:rsidP="007F619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05"/>
      </w:tblGrid>
      <w:tr w:rsidR="007F619E" w:rsidTr="007F619E">
        <w:trPr>
          <w:jc w:val="center"/>
        </w:trPr>
        <w:tc>
          <w:tcPr>
            <w:tcW w:w="8505" w:type="dxa"/>
          </w:tcPr>
          <w:p w:rsidR="002551E9" w:rsidRPr="002551E9" w:rsidRDefault="002551E9" w:rsidP="007F619E"/>
          <w:p w:rsidR="007F619E" w:rsidRPr="00177E10" w:rsidRDefault="007F619E" w:rsidP="007F619E">
            <w:pPr>
              <w:rPr>
                <w:b/>
              </w:rPr>
            </w:pPr>
            <w:r>
              <w:rPr>
                <w:b/>
              </w:rPr>
              <w:t>Learning Outcomes</w:t>
            </w:r>
          </w:p>
          <w:p w:rsidR="007F619E" w:rsidRDefault="007F619E" w:rsidP="007F619E"/>
          <w:p w:rsidR="007F619E" w:rsidRDefault="007F619E" w:rsidP="007F619E">
            <w:r w:rsidRPr="00DD67A4">
              <w:t>On successful completion of the module students will be able to:</w:t>
            </w:r>
          </w:p>
          <w:p w:rsidR="007F619E" w:rsidRPr="00DD67A4" w:rsidRDefault="007F619E" w:rsidP="007F619E"/>
          <w:p w:rsidR="007F619E" w:rsidRDefault="007F619E" w:rsidP="007F619E">
            <w:pPr>
              <w:rPr>
                <w:b/>
                <w:bCs/>
              </w:rPr>
            </w:pPr>
            <w:r w:rsidRPr="008C0D4A">
              <w:rPr>
                <w:b/>
                <w:bCs/>
              </w:rPr>
              <w:t>Knowledge and Understanding</w:t>
            </w:r>
          </w:p>
          <w:p w:rsidR="007F619E" w:rsidRPr="007F619E" w:rsidRDefault="007F619E" w:rsidP="007F619E">
            <w:r w:rsidRPr="007F619E">
              <w:rPr>
                <w:bCs/>
              </w:rPr>
              <w:t>a)</w:t>
            </w:r>
            <w:r w:rsidRPr="007F619E">
              <w:t xml:space="preserve"> Identify and evaluate a range of learning styles.</w:t>
            </w:r>
          </w:p>
          <w:p w:rsidR="007F619E" w:rsidRPr="007F619E" w:rsidRDefault="007F619E" w:rsidP="007F619E">
            <w:r w:rsidRPr="007F619E">
              <w:rPr>
                <w:bCs/>
              </w:rPr>
              <w:t>b)</w:t>
            </w:r>
            <w:r w:rsidRPr="007F619E">
              <w:t xml:space="preserve"> Evaluate the effectiveness of a range of teaching methods.</w:t>
            </w:r>
          </w:p>
          <w:p w:rsidR="007F619E" w:rsidRPr="008C0D4A" w:rsidRDefault="007F619E" w:rsidP="007F619E"/>
          <w:p w:rsidR="007F619E" w:rsidRDefault="007F619E" w:rsidP="007F619E">
            <w:pPr>
              <w:rPr>
                <w:b/>
                <w:bCs/>
              </w:rPr>
            </w:pPr>
            <w:r w:rsidRPr="008C0D4A">
              <w:rPr>
                <w:b/>
                <w:bCs/>
              </w:rPr>
              <w:t>Subject-specific Skills</w:t>
            </w:r>
          </w:p>
          <w:p w:rsidR="007F619E" w:rsidRPr="007F619E" w:rsidRDefault="007F619E" w:rsidP="007F619E">
            <w:pPr>
              <w:rPr>
                <w:bCs/>
              </w:rPr>
            </w:pPr>
            <w:proofErr w:type="spellStart"/>
            <w:r w:rsidRPr="007F619E">
              <w:rPr>
                <w:bCs/>
              </w:rPr>
              <w:t>c</w:t>
            </w:r>
            <w:proofErr w:type="spellEnd"/>
            <w:r w:rsidRPr="007F619E">
              <w:rPr>
                <w:bCs/>
              </w:rPr>
              <w:t>) Demonstrate an abilit</w:t>
            </w:r>
            <w:r w:rsidR="003263EF">
              <w:rPr>
                <w:bCs/>
              </w:rPr>
              <w:t>y to effectively synthesise data</w:t>
            </w:r>
            <w:r w:rsidRPr="007F619E">
              <w:rPr>
                <w:bCs/>
              </w:rPr>
              <w:t xml:space="preserve"> from a range of sources to support an argument.</w:t>
            </w:r>
          </w:p>
          <w:p w:rsidR="007F619E" w:rsidRPr="007F619E" w:rsidRDefault="007F619E" w:rsidP="007F619E">
            <w:pPr>
              <w:rPr>
                <w:bCs/>
              </w:rPr>
            </w:pPr>
            <w:r w:rsidRPr="007F619E">
              <w:rPr>
                <w:bCs/>
              </w:rPr>
              <w:t>d) Reflect upon their own ability to use and adapt subject skills to facilitate the learning of others.</w:t>
            </w:r>
          </w:p>
          <w:p w:rsidR="007F619E" w:rsidRPr="008C0D4A" w:rsidRDefault="007F619E" w:rsidP="007F619E"/>
          <w:p w:rsidR="007F619E" w:rsidRDefault="007F619E" w:rsidP="007F619E">
            <w:pPr>
              <w:rPr>
                <w:b/>
                <w:bCs/>
              </w:rPr>
            </w:pPr>
            <w:r w:rsidRPr="008C0D4A">
              <w:rPr>
                <w:b/>
                <w:bCs/>
              </w:rPr>
              <w:t>Key Skills</w:t>
            </w:r>
          </w:p>
          <w:p w:rsidR="007F619E" w:rsidRPr="007F619E" w:rsidRDefault="007F619E" w:rsidP="007F619E">
            <w:r w:rsidRPr="007F619E">
              <w:rPr>
                <w:bCs/>
              </w:rPr>
              <w:t>e)</w:t>
            </w:r>
            <w:r w:rsidRPr="007F619E">
              <w:t xml:space="preserve"> Identify and highlight personal skills against individual employers’ requirements.</w:t>
            </w:r>
          </w:p>
          <w:p w:rsidR="007F619E" w:rsidRPr="007F619E" w:rsidRDefault="007F619E" w:rsidP="007F619E">
            <w:proofErr w:type="gramStart"/>
            <w:r w:rsidRPr="007F619E">
              <w:rPr>
                <w:bCs/>
              </w:rPr>
              <w:t>f</w:t>
            </w:r>
            <w:proofErr w:type="gramEnd"/>
            <w:r w:rsidRPr="007F619E">
              <w:rPr>
                <w:bCs/>
              </w:rPr>
              <w:t>)</w:t>
            </w:r>
            <w:r w:rsidRPr="007F619E">
              <w:t xml:space="preserve"> Evaluate own performance and set targets for future development.</w:t>
            </w:r>
          </w:p>
          <w:p w:rsidR="007F619E" w:rsidRDefault="007F619E" w:rsidP="007F619E"/>
        </w:tc>
      </w:tr>
    </w:tbl>
    <w:p w:rsidR="007F619E" w:rsidRDefault="007F619E" w:rsidP="007F619E">
      <w:pPr>
        <w:pStyle w:val="Level1"/>
        <w:tabs>
          <w:tab w:val="left" w:pos="720"/>
        </w:tabs>
        <w:jc w:val="left"/>
        <w:rPr>
          <w:rFonts w:ascii="Verdana" w:hAnsi="Verdana"/>
          <w:sz w:val="22"/>
          <w:szCs w:val="22"/>
        </w:rPr>
      </w:pPr>
      <w:r>
        <w:rPr>
          <w:rFonts w:ascii="Verdana" w:hAnsi="Verdana"/>
          <w:sz w:val="22"/>
          <w:szCs w:val="22"/>
        </w:rPr>
        <w:t>Table 4 Module learning outcomes.</w:t>
      </w:r>
    </w:p>
    <w:p w:rsidR="007F619E" w:rsidRDefault="007F619E"/>
    <w:p w:rsidR="001515E0" w:rsidRDefault="007F619E">
      <w:r>
        <w:t>Since its development in 2005, five</w:t>
      </w:r>
      <w:r w:rsidR="001515E0">
        <w:t xml:space="preserve"> cohorts of students have completed this module.  </w:t>
      </w:r>
      <w:r w:rsidR="00C56588">
        <w:t>These cohorts were small in size (Table 1) but comprised both ‘traditional’ and ‘mature’ students, and students with</w:t>
      </w:r>
      <w:r w:rsidR="00DF00BD">
        <w:t xml:space="preserve"> and </w:t>
      </w:r>
      <w:r w:rsidR="00C56588">
        <w:t>without an interest in teaching as a career.  To evaluate the module, a</w:t>
      </w:r>
      <w:r w:rsidR="001515E0">
        <w:t xml:space="preserve"> 45-minute focus group was </w:t>
      </w:r>
      <w:r w:rsidR="00DF00BD">
        <w:t>conducted</w:t>
      </w:r>
      <w:r w:rsidR="001515E0">
        <w:t xml:space="preserve"> with the first cohort of students</w:t>
      </w:r>
      <w:r w:rsidR="00C56588">
        <w:t xml:space="preserve"> and informal interviews and questionnaires were carried out with subsequent cohorts</w:t>
      </w:r>
      <w:r w:rsidR="001515E0">
        <w:t>.</w:t>
      </w:r>
      <w:r w:rsidR="00200E3A">
        <w:t xml:space="preserve">  Through these evaluations two broad themes emerged.  </w:t>
      </w:r>
      <w:r w:rsidR="00200E3A" w:rsidRPr="006D251A">
        <w:t xml:space="preserve">First, </w:t>
      </w:r>
      <w:r w:rsidR="00200E3A" w:rsidRPr="006D251A">
        <w:lastRenderedPageBreak/>
        <w:t xml:space="preserve">echoing </w:t>
      </w:r>
      <w:r w:rsidR="006D251A" w:rsidRPr="006D251A">
        <w:t xml:space="preserve">the findings of </w:t>
      </w:r>
      <w:r w:rsidR="00200E3A" w:rsidRPr="006D251A">
        <w:t>many existing accounts of PDP</w:t>
      </w:r>
      <w:r w:rsidR="006D251A" w:rsidRPr="006D251A">
        <w:t>, the students identified a series of tangible benefits received from engagement with PDP activities.  S</w:t>
      </w:r>
      <w:r w:rsidR="00200E3A" w:rsidRPr="006D251A">
        <w:t xml:space="preserve">econd, </w:t>
      </w:r>
      <w:r w:rsidR="006D251A" w:rsidRPr="006D251A">
        <w:t xml:space="preserve">and </w:t>
      </w:r>
      <w:r w:rsidR="00200E3A" w:rsidRPr="006D251A">
        <w:t xml:space="preserve">relatively unacknowledged in </w:t>
      </w:r>
      <w:r w:rsidR="006D251A" w:rsidRPr="006D251A">
        <w:t xml:space="preserve">other </w:t>
      </w:r>
      <w:r w:rsidR="00200E3A" w:rsidRPr="006D251A">
        <w:t>accounts of PDP</w:t>
      </w:r>
      <w:r w:rsidR="006D251A" w:rsidRPr="006D251A">
        <w:t>, the students outlined</w:t>
      </w:r>
      <w:r w:rsidR="006D251A">
        <w:t xml:space="preserve"> benefits that are ‘hard to capture’.</w:t>
      </w:r>
    </w:p>
    <w:p w:rsidR="00213F06" w:rsidRDefault="00213F06"/>
    <w:p w:rsidR="008578A7" w:rsidRDefault="008578A7"/>
    <w:p w:rsidR="005523AB" w:rsidRDefault="005523AB">
      <w:pPr>
        <w:rPr>
          <w:b/>
        </w:rPr>
      </w:pPr>
      <w:r>
        <w:rPr>
          <w:b/>
        </w:rPr>
        <w:t>T</w:t>
      </w:r>
      <w:r w:rsidR="00B31435">
        <w:rPr>
          <w:b/>
        </w:rPr>
        <w:t xml:space="preserve">angible benefits </w:t>
      </w:r>
      <w:r>
        <w:rPr>
          <w:b/>
        </w:rPr>
        <w:t>identified by students</w:t>
      </w:r>
    </w:p>
    <w:p w:rsidR="005523AB" w:rsidRPr="00A0310F" w:rsidRDefault="005523AB"/>
    <w:p w:rsidR="005523AB" w:rsidRDefault="009D5572" w:rsidP="001515E0">
      <w:r>
        <w:t>In both their reflective diary assignment and in the module evaluations</w:t>
      </w:r>
      <w:r w:rsidR="00DF00BD">
        <w:t>,</w:t>
      </w:r>
      <w:r>
        <w:t xml:space="preserve"> a</w:t>
      </w:r>
      <w:r w:rsidR="0034197B">
        <w:t>ll</w:t>
      </w:r>
      <w:r w:rsidR="005523AB">
        <w:t xml:space="preserve"> students identified three types of tangible benefits that they had gained through their participation in the module.  These related to career planning and looking to the future</w:t>
      </w:r>
      <w:r w:rsidR="00D765AF">
        <w:t>:</w:t>
      </w:r>
    </w:p>
    <w:p w:rsidR="005523AB" w:rsidRDefault="005523AB" w:rsidP="001515E0"/>
    <w:p w:rsidR="005523AB" w:rsidRPr="005523AB" w:rsidRDefault="005523AB" w:rsidP="001515E0">
      <w:r w:rsidRPr="005523AB">
        <w:t xml:space="preserve">(1) </w:t>
      </w:r>
      <w:proofErr w:type="gramStart"/>
      <w:r w:rsidRPr="005523AB">
        <w:t>creating</w:t>
      </w:r>
      <w:proofErr w:type="gramEnd"/>
      <w:r w:rsidRPr="005523AB">
        <w:t xml:space="preserve"> a CV and drafting an application form and covering letter</w:t>
      </w:r>
    </w:p>
    <w:p w:rsidR="006411AE" w:rsidRDefault="006411AE" w:rsidP="006411AE"/>
    <w:p w:rsidR="005523AB" w:rsidRPr="00A7526B" w:rsidRDefault="005523AB" w:rsidP="005523AB">
      <w:pPr>
        <w:ind w:left="360"/>
        <w:rPr>
          <w:i/>
        </w:rPr>
      </w:pPr>
      <w:r w:rsidRPr="00A7526B">
        <w:rPr>
          <w:i/>
        </w:rPr>
        <w:t>“I now have a CV.  I know how to write a covering letter</w:t>
      </w:r>
      <w:r w:rsidR="006021D5">
        <w:rPr>
          <w:i/>
        </w:rPr>
        <w:t xml:space="preserve"> and</w:t>
      </w:r>
      <w:r w:rsidRPr="00A7526B">
        <w:rPr>
          <w:i/>
        </w:rPr>
        <w:t xml:space="preserve"> </w:t>
      </w:r>
      <w:proofErr w:type="gramStart"/>
      <w:r w:rsidRPr="00A7526B">
        <w:rPr>
          <w:i/>
        </w:rPr>
        <w:t>do an application</w:t>
      </w:r>
      <w:proofErr w:type="gramEnd"/>
      <w:r w:rsidRPr="00A7526B">
        <w:rPr>
          <w:i/>
        </w:rPr>
        <w:t xml:space="preserve"> form.  </w:t>
      </w:r>
      <w:r w:rsidR="00074689">
        <w:rPr>
          <w:i/>
        </w:rPr>
        <w:t>I</w:t>
      </w:r>
      <w:r w:rsidRPr="00A7526B">
        <w:rPr>
          <w:i/>
        </w:rPr>
        <w:t xml:space="preserve">t’s been so useful because since [doing these </w:t>
      </w:r>
      <w:r w:rsidR="00074689">
        <w:rPr>
          <w:i/>
        </w:rPr>
        <w:t>for</w:t>
      </w:r>
      <w:r w:rsidRPr="00A7526B">
        <w:rPr>
          <w:i/>
        </w:rPr>
        <w:t xml:space="preserve"> the module] I’ve applied for a PGCE and have had to do them for real.”</w:t>
      </w:r>
    </w:p>
    <w:p w:rsidR="005523AB" w:rsidRPr="00A7526B" w:rsidRDefault="005523AB" w:rsidP="005523AB"/>
    <w:p w:rsidR="005523AB" w:rsidRPr="00A7526B" w:rsidRDefault="005523AB" w:rsidP="005523AB">
      <w:pPr>
        <w:ind w:left="360"/>
        <w:rPr>
          <w:i/>
        </w:rPr>
      </w:pPr>
      <w:r w:rsidRPr="00A7526B">
        <w:rPr>
          <w:i/>
        </w:rPr>
        <w:t>“It was useful having to write a CV, application form and covering letter as these can be improved on when applying for real jobs.”</w:t>
      </w:r>
    </w:p>
    <w:p w:rsidR="005523AB" w:rsidRDefault="005523AB" w:rsidP="005523AB"/>
    <w:p w:rsidR="008578A7" w:rsidRDefault="005523AB">
      <w:r>
        <w:t xml:space="preserve">(2) </w:t>
      </w:r>
      <w:proofErr w:type="gramStart"/>
      <w:r>
        <w:t>support</w:t>
      </w:r>
      <w:proofErr w:type="gramEnd"/>
      <w:r>
        <w:t xml:space="preserve"> for applications and interview</w:t>
      </w:r>
      <w:r w:rsidR="006021D5">
        <w:t>s</w:t>
      </w:r>
    </w:p>
    <w:p w:rsidR="005523AB" w:rsidRDefault="005523AB"/>
    <w:p w:rsidR="005523AB" w:rsidRPr="00A7526B" w:rsidRDefault="005523AB" w:rsidP="005523AB">
      <w:pPr>
        <w:ind w:left="360"/>
        <w:rPr>
          <w:i/>
        </w:rPr>
      </w:pPr>
      <w:r w:rsidRPr="00A7526B">
        <w:rPr>
          <w:i/>
        </w:rPr>
        <w:t>“</w:t>
      </w:r>
      <w:r w:rsidR="00074689">
        <w:rPr>
          <w:i/>
        </w:rPr>
        <w:t>Before doing this module</w:t>
      </w:r>
      <w:r w:rsidRPr="00A7526B">
        <w:rPr>
          <w:i/>
        </w:rPr>
        <w:t xml:space="preserve"> I only had the experience of observing a secondary school class.  But I’ve </w:t>
      </w:r>
      <w:r w:rsidR="006021D5">
        <w:rPr>
          <w:i/>
        </w:rPr>
        <w:t xml:space="preserve">now </w:t>
      </w:r>
      <w:r w:rsidRPr="00A7526B">
        <w:rPr>
          <w:i/>
        </w:rPr>
        <w:t>had the opportunity to actually give a whole lesson… and I can put that down on an application form.”</w:t>
      </w:r>
    </w:p>
    <w:p w:rsidR="005523AB" w:rsidRPr="00A7526B" w:rsidRDefault="005523AB" w:rsidP="005523AB"/>
    <w:p w:rsidR="005523AB" w:rsidRPr="00A7526B" w:rsidRDefault="005523AB" w:rsidP="005523AB">
      <w:pPr>
        <w:ind w:left="360"/>
        <w:rPr>
          <w:i/>
        </w:rPr>
      </w:pPr>
      <w:r w:rsidRPr="00A7526B">
        <w:rPr>
          <w:i/>
        </w:rPr>
        <w:t>“What I’ve really got out of the module is how valuable reflection is, and how you can use things that are outside your degree, or key skills that you’ve used in your degree, and use them in an interview or application to boost your chances.”</w:t>
      </w:r>
    </w:p>
    <w:p w:rsidR="005523AB" w:rsidRPr="00A7526B" w:rsidRDefault="005523AB" w:rsidP="005523AB"/>
    <w:p w:rsidR="005523AB" w:rsidRPr="00A7526B" w:rsidRDefault="005523AB" w:rsidP="005523AB">
      <w:pPr>
        <w:ind w:left="360"/>
        <w:rPr>
          <w:i/>
        </w:rPr>
      </w:pPr>
      <w:r w:rsidRPr="00A7526B">
        <w:rPr>
          <w:i/>
        </w:rPr>
        <w:t>“Other modules you do because you have to</w:t>
      </w:r>
      <w:r w:rsidR="00074689">
        <w:rPr>
          <w:i/>
        </w:rPr>
        <w:t>..</w:t>
      </w:r>
      <w:r w:rsidRPr="00A7526B">
        <w:rPr>
          <w:i/>
        </w:rPr>
        <w:t xml:space="preserve">.  </w:t>
      </w:r>
      <w:proofErr w:type="gramStart"/>
      <w:r w:rsidRPr="00A7526B">
        <w:rPr>
          <w:i/>
        </w:rPr>
        <w:t>Whereas in this module you pick up stuff that is relevant to a job.”</w:t>
      </w:r>
      <w:proofErr w:type="gramEnd"/>
    </w:p>
    <w:p w:rsidR="005523AB" w:rsidRDefault="005523AB"/>
    <w:p w:rsidR="005523AB" w:rsidRDefault="005523AB">
      <w:r>
        <w:t xml:space="preserve">(3) </w:t>
      </w:r>
      <w:proofErr w:type="gramStart"/>
      <w:r>
        <w:t>making</w:t>
      </w:r>
      <w:proofErr w:type="gramEnd"/>
      <w:r>
        <w:t xml:space="preserve"> plans for the future</w:t>
      </w:r>
    </w:p>
    <w:p w:rsidR="005523AB" w:rsidRDefault="005523AB" w:rsidP="005523AB"/>
    <w:p w:rsidR="005523AB" w:rsidRPr="00A7526B" w:rsidRDefault="005523AB" w:rsidP="005523AB">
      <w:pPr>
        <w:ind w:left="360"/>
        <w:rPr>
          <w:i/>
        </w:rPr>
      </w:pPr>
      <w:r w:rsidRPr="00A7526B">
        <w:rPr>
          <w:i/>
        </w:rPr>
        <w:t>“Because it was linked to teaching, it kind of confirmed if you want to do it or not.  It helped you decide whether teaching was the right career for you.”</w:t>
      </w:r>
    </w:p>
    <w:p w:rsidR="005523AB" w:rsidRPr="00A7526B" w:rsidRDefault="005523AB" w:rsidP="005523AB"/>
    <w:p w:rsidR="005523AB" w:rsidRPr="00A7526B" w:rsidRDefault="005523AB" w:rsidP="005523AB">
      <w:pPr>
        <w:ind w:left="360"/>
        <w:rPr>
          <w:i/>
        </w:rPr>
      </w:pPr>
      <w:r w:rsidRPr="00A7526B">
        <w:rPr>
          <w:i/>
        </w:rPr>
        <w:t>“I know what I want to do.  I know how I want to do it and what steps I need to take.  I know where I want to be in five years and how I will do it.”</w:t>
      </w:r>
    </w:p>
    <w:p w:rsidR="005523AB" w:rsidRPr="00A7526B" w:rsidRDefault="005523AB" w:rsidP="005523AB"/>
    <w:p w:rsidR="005523AB" w:rsidRPr="00A7526B" w:rsidRDefault="005523AB" w:rsidP="005523AB">
      <w:pPr>
        <w:ind w:left="360"/>
        <w:rPr>
          <w:i/>
        </w:rPr>
      </w:pPr>
      <w:r w:rsidRPr="00A7526B">
        <w:rPr>
          <w:i/>
        </w:rPr>
        <w:t>“The module has helped me decide about the future.  Teaching isn’t for me!”</w:t>
      </w:r>
    </w:p>
    <w:p w:rsidR="006411AE" w:rsidRDefault="006411AE" w:rsidP="005D645D"/>
    <w:p w:rsidR="005D645D" w:rsidRDefault="00D765AF">
      <w:r>
        <w:t>These tangible benefits are very much linked to the aims of the project – to help students reflect on their experiences, appraise their strengths and weaknesses and plan for the future.  Evidence of these tangible benefits was shown not just through the evaluation process, but also in the reflective diary assessment completed by the students.</w:t>
      </w:r>
    </w:p>
    <w:p w:rsidR="00864D38" w:rsidRDefault="00864D38"/>
    <w:p w:rsidR="001C6B33" w:rsidRDefault="001C6B33"/>
    <w:p w:rsidR="008578A7" w:rsidRPr="005D645D" w:rsidRDefault="007B1DC4">
      <w:pPr>
        <w:rPr>
          <w:b/>
        </w:rPr>
      </w:pPr>
      <w:r>
        <w:rPr>
          <w:b/>
        </w:rPr>
        <w:t>‘</w:t>
      </w:r>
      <w:r w:rsidR="00B31435">
        <w:rPr>
          <w:b/>
        </w:rPr>
        <w:t>Hard to capture</w:t>
      </w:r>
      <w:r>
        <w:rPr>
          <w:b/>
        </w:rPr>
        <w:t>’</w:t>
      </w:r>
      <w:r w:rsidR="00B31435">
        <w:rPr>
          <w:b/>
        </w:rPr>
        <w:t xml:space="preserve"> benefits</w:t>
      </w:r>
      <w:r>
        <w:rPr>
          <w:b/>
        </w:rPr>
        <w:t xml:space="preserve"> identified by students</w:t>
      </w:r>
    </w:p>
    <w:p w:rsidR="008578A7" w:rsidRDefault="008578A7"/>
    <w:p w:rsidR="004B3110" w:rsidRDefault="004B3110" w:rsidP="004B3110">
      <w:r>
        <w:lastRenderedPageBreak/>
        <w:t>In addition to tangible benefits, the feedback from the students indicates a range of ‘hard to capture’ benefits, such as increased confidence and self-awareness, and enjoyment:</w:t>
      </w:r>
    </w:p>
    <w:p w:rsidR="004B3110" w:rsidRDefault="004B3110"/>
    <w:p w:rsidR="00E12496" w:rsidRDefault="004B3110">
      <w:r>
        <w:t xml:space="preserve">(1) </w:t>
      </w:r>
      <w:proofErr w:type="gramStart"/>
      <w:r>
        <w:t>gaining</w:t>
      </w:r>
      <w:proofErr w:type="gramEnd"/>
      <w:r w:rsidR="00E12496">
        <w:t xml:space="preserve"> confidence in dealing with unfamiliar situations</w:t>
      </w:r>
    </w:p>
    <w:p w:rsidR="00E12496" w:rsidRDefault="00E12496"/>
    <w:p w:rsidR="00E12496" w:rsidRPr="00E12496" w:rsidRDefault="00E12496" w:rsidP="00E12496">
      <w:pPr>
        <w:ind w:left="720"/>
        <w:rPr>
          <w:i/>
        </w:rPr>
      </w:pPr>
      <w:r w:rsidRPr="00E12496">
        <w:rPr>
          <w:i/>
        </w:rPr>
        <w:t>“</w:t>
      </w:r>
      <w:r w:rsidR="004B3110">
        <w:rPr>
          <w:i/>
        </w:rPr>
        <w:t>[The placement]</w:t>
      </w:r>
      <w:r w:rsidRPr="00E12496">
        <w:rPr>
          <w:i/>
        </w:rPr>
        <w:t xml:space="preserve"> was quite daunting to start with… it was all unfamiliar… but you realise you can actually do it and that you can deal with those sorts of situations.”</w:t>
      </w:r>
    </w:p>
    <w:p w:rsidR="00B31435" w:rsidRDefault="00B31435" w:rsidP="00B31435"/>
    <w:p w:rsidR="00B31435" w:rsidRPr="00E12496" w:rsidRDefault="00B31435" w:rsidP="00B31435">
      <w:pPr>
        <w:ind w:left="720"/>
        <w:rPr>
          <w:i/>
        </w:rPr>
      </w:pPr>
      <w:r w:rsidRPr="00E12496">
        <w:rPr>
          <w:i/>
        </w:rPr>
        <w:t>“The module gave me a lot of confidence in delivering material</w:t>
      </w:r>
      <w:r>
        <w:rPr>
          <w:i/>
        </w:rPr>
        <w:t>s</w:t>
      </w:r>
      <w:r w:rsidRPr="00E12496">
        <w:rPr>
          <w:i/>
        </w:rPr>
        <w:t xml:space="preserve"> to a </w:t>
      </w:r>
      <w:r w:rsidR="00074689">
        <w:rPr>
          <w:i/>
        </w:rPr>
        <w:t>class and I’ve not done that before</w:t>
      </w:r>
      <w:r w:rsidRPr="00E12496">
        <w:rPr>
          <w:i/>
        </w:rPr>
        <w:t>.”</w:t>
      </w:r>
    </w:p>
    <w:p w:rsidR="00E12496" w:rsidRDefault="00E12496"/>
    <w:p w:rsidR="00E12496" w:rsidRDefault="004B3110">
      <w:r>
        <w:t xml:space="preserve">(2) </w:t>
      </w:r>
      <w:proofErr w:type="gramStart"/>
      <w:r>
        <w:t>greater</w:t>
      </w:r>
      <w:proofErr w:type="gramEnd"/>
      <w:r w:rsidR="00E12496">
        <w:t xml:space="preserve"> self-awareness</w:t>
      </w:r>
    </w:p>
    <w:p w:rsidR="004B3110" w:rsidRDefault="004B3110" w:rsidP="004B3110"/>
    <w:p w:rsidR="004B3110" w:rsidRPr="00E12496" w:rsidRDefault="004B3110" w:rsidP="004B3110">
      <w:pPr>
        <w:ind w:left="720"/>
        <w:rPr>
          <w:i/>
        </w:rPr>
      </w:pPr>
      <w:r w:rsidRPr="00E12496">
        <w:rPr>
          <w:i/>
        </w:rPr>
        <w:t xml:space="preserve">“I’m one of those people that if I don’t like </w:t>
      </w:r>
      <w:r w:rsidR="00074689">
        <w:rPr>
          <w:i/>
        </w:rPr>
        <w:t>something</w:t>
      </w:r>
      <w:r w:rsidRPr="00E12496">
        <w:rPr>
          <w:i/>
        </w:rPr>
        <w:t xml:space="preserve">, I don’t bother.  But because I really enjoyed this module, I </w:t>
      </w:r>
      <w:r>
        <w:rPr>
          <w:i/>
        </w:rPr>
        <w:t>did loads of work for it</w:t>
      </w:r>
      <w:r w:rsidRPr="00E12496">
        <w:rPr>
          <w:i/>
        </w:rPr>
        <w:t>…  And it made me think about what I want to achieve from my degree.”</w:t>
      </w:r>
    </w:p>
    <w:p w:rsidR="00E12496" w:rsidRDefault="00E12496"/>
    <w:p w:rsidR="00E12496" w:rsidRPr="00E12496" w:rsidRDefault="00E12496" w:rsidP="00E12496">
      <w:pPr>
        <w:ind w:left="720"/>
        <w:rPr>
          <w:i/>
        </w:rPr>
      </w:pPr>
      <w:r w:rsidRPr="00E12496">
        <w:rPr>
          <w:i/>
        </w:rPr>
        <w:t>“Probably the worst thing</w:t>
      </w:r>
      <w:r w:rsidR="004B3110">
        <w:rPr>
          <w:i/>
        </w:rPr>
        <w:t xml:space="preserve"> [about the placement]</w:t>
      </w:r>
      <w:r w:rsidRPr="00E12496">
        <w:rPr>
          <w:i/>
        </w:rPr>
        <w:t xml:space="preserve"> is your own self-confidence.  </w:t>
      </w:r>
      <w:proofErr w:type="gramStart"/>
      <w:r w:rsidRPr="00E12496">
        <w:rPr>
          <w:i/>
        </w:rPr>
        <w:t>Worrying before the start.</w:t>
      </w:r>
      <w:proofErr w:type="gramEnd"/>
      <w:r w:rsidRPr="00E12496">
        <w:rPr>
          <w:i/>
        </w:rPr>
        <w:t xml:space="preserve">  Not knowing anyone.  Thinking about whether the students look bored! </w:t>
      </w:r>
      <w:r w:rsidR="004B3110">
        <w:rPr>
          <w:i/>
        </w:rPr>
        <w:t>…</w:t>
      </w:r>
      <w:r w:rsidRPr="00E12496">
        <w:rPr>
          <w:i/>
        </w:rPr>
        <w:t xml:space="preserve">  But you have to go through that to do the job and to get better at it.”</w:t>
      </w:r>
    </w:p>
    <w:p w:rsidR="00E12496" w:rsidRDefault="00E12496"/>
    <w:p w:rsidR="00E12496" w:rsidRPr="00E12496" w:rsidRDefault="00E12496" w:rsidP="00E12496">
      <w:pPr>
        <w:ind w:left="720"/>
        <w:rPr>
          <w:i/>
        </w:rPr>
      </w:pPr>
      <w:r w:rsidRPr="00E12496">
        <w:rPr>
          <w:i/>
        </w:rPr>
        <w:t xml:space="preserve">“It’s investing in </w:t>
      </w:r>
      <w:proofErr w:type="gramStart"/>
      <w:r w:rsidRPr="00E12496">
        <w:rPr>
          <w:i/>
        </w:rPr>
        <w:t>yourself</w:t>
      </w:r>
      <w:proofErr w:type="gramEnd"/>
      <w:r w:rsidRPr="00E12496">
        <w:rPr>
          <w:i/>
        </w:rPr>
        <w:t xml:space="preserve">.  It’s not just a tick-box module.  </w:t>
      </w:r>
      <w:r w:rsidR="004B3110">
        <w:rPr>
          <w:i/>
        </w:rPr>
        <w:t>[By trying new things] y</w:t>
      </w:r>
      <w:r w:rsidRPr="00E12496">
        <w:rPr>
          <w:i/>
        </w:rPr>
        <w:t>ou get more out of it on a personal level as well.”</w:t>
      </w:r>
    </w:p>
    <w:p w:rsidR="00E12496" w:rsidRDefault="00E12496"/>
    <w:p w:rsidR="00E12496" w:rsidRDefault="004B3110">
      <w:r>
        <w:t xml:space="preserve">(3) </w:t>
      </w:r>
      <w:proofErr w:type="gramStart"/>
      <w:r>
        <w:t>enjoyment</w:t>
      </w:r>
      <w:proofErr w:type="gramEnd"/>
      <w:r>
        <w:t xml:space="preserve"> and self-esteem</w:t>
      </w:r>
    </w:p>
    <w:p w:rsidR="00E12496" w:rsidRDefault="00E12496"/>
    <w:p w:rsidR="005D645D" w:rsidRPr="00E12496" w:rsidRDefault="005D645D" w:rsidP="00E12496">
      <w:pPr>
        <w:ind w:left="720"/>
        <w:rPr>
          <w:i/>
        </w:rPr>
      </w:pPr>
      <w:r w:rsidRPr="00E12496">
        <w:rPr>
          <w:i/>
        </w:rPr>
        <w:t>“When people come up to you and say that they’</w:t>
      </w:r>
      <w:r w:rsidR="00E12496" w:rsidRPr="00E12496">
        <w:rPr>
          <w:i/>
        </w:rPr>
        <w:t>ve</w:t>
      </w:r>
      <w:r w:rsidRPr="00E12496">
        <w:rPr>
          <w:i/>
        </w:rPr>
        <w:t xml:space="preserve"> enjoyed something you’ve done, it makes you think that it’s really worthwhile</w:t>
      </w:r>
      <w:r w:rsidR="00E12496" w:rsidRPr="00E12496">
        <w:rPr>
          <w:i/>
        </w:rPr>
        <w:t xml:space="preserve"> -</w:t>
      </w:r>
      <w:r w:rsidRPr="00E12496">
        <w:rPr>
          <w:i/>
        </w:rPr>
        <w:t xml:space="preserve"> that you’ve made a real difference</w:t>
      </w:r>
      <w:r w:rsidR="00E12496" w:rsidRPr="00E12496">
        <w:rPr>
          <w:i/>
        </w:rPr>
        <w:t>.  It</w:t>
      </w:r>
      <w:r w:rsidRPr="00E12496">
        <w:rPr>
          <w:i/>
        </w:rPr>
        <w:t xml:space="preserve"> feels good.”</w:t>
      </w:r>
    </w:p>
    <w:p w:rsidR="004B3110" w:rsidRDefault="004B3110" w:rsidP="004B3110"/>
    <w:p w:rsidR="004B3110" w:rsidRPr="00E12496" w:rsidRDefault="004B3110" w:rsidP="004B3110">
      <w:pPr>
        <w:ind w:left="720"/>
        <w:rPr>
          <w:i/>
        </w:rPr>
      </w:pPr>
      <w:r w:rsidRPr="00E12496">
        <w:rPr>
          <w:i/>
        </w:rPr>
        <w:t xml:space="preserve">“It’s kind of an affirmation of </w:t>
      </w:r>
      <w:proofErr w:type="gramStart"/>
      <w:r w:rsidRPr="00E12496">
        <w:rPr>
          <w:i/>
        </w:rPr>
        <w:t>yourself</w:t>
      </w:r>
      <w:proofErr w:type="gramEnd"/>
      <w:r w:rsidRPr="00E12496">
        <w:rPr>
          <w:i/>
        </w:rPr>
        <w:t>.  Teaching is always been something I wanted to do, but by</w:t>
      </w:r>
      <w:r w:rsidR="006021D5">
        <w:rPr>
          <w:i/>
        </w:rPr>
        <w:t xml:space="preserve"> </w:t>
      </w:r>
      <w:r w:rsidR="006D251A">
        <w:rPr>
          <w:i/>
        </w:rPr>
        <w:t>teaching a class,</w:t>
      </w:r>
      <w:r w:rsidRPr="00E12496">
        <w:rPr>
          <w:i/>
        </w:rPr>
        <w:t xml:space="preserve"> I realised that it I could act</w:t>
      </w:r>
      <w:r w:rsidR="00D85888">
        <w:rPr>
          <w:i/>
        </w:rPr>
        <w:t>ually</w:t>
      </w:r>
      <w:r w:rsidRPr="00E12496">
        <w:rPr>
          <w:i/>
        </w:rPr>
        <w:t xml:space="preserve"> do it.  </w:t>
      </w:r>
      <w:r w:rsidR="00C9112F">
        <w:rPr>
          <w:i/>
        </w:rPr>
        <w:t>And y</w:t>
      </w:r>
      <w:r>
        <w:rPr>
          <w:i/>
        </w:rPr>
        <w:t>ou come out [of the class] on such a high</w:t>
      </w:r>
      <w:r w:rsidR="00C9112F">
        <w:rPr>
          <w:i/>
        </w:rPr>
        <w:t>!</w:t>
      </w:r>
      <w:r w:rsidRPr="00E12496">
        <w:rPr>
          <w:i/>
        </w:rPr>
        <w:t>”</w:t>
      </w:r>
    </w:p>
    <w:p w:rsidR="0034197B" w:rsidRDefault="0034197B" w:rsidP="0034197B"/>
    <w:p w:rsidR="004B3110" w:rsidRDefault="0034197B">
      <w:r>
        <w:t xml:space="preserve">Unlike the tangible benefits outlined above, the links between these and the aims of the module are less explicit and straight-forward.  </w:t>
      </w:r>
      <w:r w:rsidR="009D5572">
        <w:t xml:space="preserve">None of the </w:t>
      </w:r>
      <w:r>
        <w:t>students hinted at these benefits in their reflective writings</w:t>
      </w:r>
      <w:r w:rsidR="009D5572">
        <w:t xml:space="preserve"> -</w:t>
      </w:r>
      <w:r>
        <w:t xml:space="preserve"> </w:t>
      </w:r>
      <w:r w:rsidR="009D5572">
        <w:t>they</w:t>
      </w:r>
      <w:r>
        <w:t xml:space="preserve"> </w:t>
      </w:r>
      <w:r w:rsidR="006F403A">
        <w:t xml:space="preserve">only articulated </w:t>
      </w:r>
      <w:r>
        <w:t>these outcomes during the evaluation process.  What is particularly interesting to note here is that whilst all students recognised the same tangible benefits, considerable variations occurred in the ‘hard to capture’ benefits.  It appears that the individual programmes of study followed</w:t>
      </w:r>
      <w:r w:rsidR="001C6B33">
        <w:t>,</w:t>
      </w:r>
      <w:r>
        <w:t xml:space="preserve"> together with students’ personal investment in the process</w:t>
      </w:r>
      <w:r w:rsidR="001C6B33">
        <w:t>,</w:t>
      </w:r>
      <w:r>
        <w:t xml:space="preserve"> play an important role in the outcomes </w:t>
      </w:r>
      <w:r w:rsidR="006021D5">
        <w:t>achieved</w:t>
      </w:r>
      <w:r>
        <w:t>.</w:t>
      </w:r>
    </w:p>
    <w:p w:rsidR="00BA11D0" w:rsidRDefault="00BA11D0"/>
    <w:p w:rsidR="00BA11D0" w:rsidRDefault="00BA11D0"/>
    <w:p w:rsidR="00C64C6E" w:rsidRPr="00C64C6E" w:rsidRDefault="00C64C6E">
      <w:pPr>
        <w:rPr>
          <w:b/>
        </w:rPr>
      </w:pPr>
      <w:r w:rsidRPr="00C64C6E">
        <w:rPr>
          <w:b/>
        </w:rPr>
        <w:t>Conclusions and Recommendations</w:t>
      </w:r>
    </w:p>
    <w:p w:rsidR="003D41E6" w:rsidRDefault="003D41E6" w:rsidP="003D41E6"/>
    <w:p w:rsidR="00200E3A" w:rsidRDefault="00200E3A" w:rsidP="003D41E6">
      <w:r>
        <w:t xml:space="preserve">This paper has considered how PDP has worked in practice with a particular group of Level 6 geography students.  </w:t>
      </w:r>
      <w:r w:rsidR="003D41E6">
        <w:t xml:space="preserve">Waddington and Wright (2007) have noted that it is sometimes difficult to ‘capture’ reflection.  </w:t>
      </w:r>
      <w:r w:rsidR="009D5572">
        <w:t xml:space="preserve">In this paper we have sought to capture students’ reflections through analysis of reflective diaries and oral feedback.  </w:t>
      </w:r>
      <w:r w:rsidR="003D41E6">
        <w:t>Analysis of the</w:t>
      </w:r>
      <w:r w:rsidR="009D5572">
        <w:t>se data</w:t>
      </w:r>
      <w:r w:rsidR="003D41E6">
        <w:t xml:space="preserve"> suggests that tangible benefits can be gained by all students engaged in </w:t>
      </w:r>
      <w:r w:rsidR="003D41E6">
        <w:lastRenderedPageBreak/>
        <w:t xml:space="preserve">career planning and work-based learning activities.  In addition, it shows that less tangible </w:t>
      </w:r>
      <w:r w:rsidR="004C2BAD">
        <w:t xml:space="preserve">- </w:t>
      </w:r>
      <w:r w:rsidR="003D41E6">
        <w:t xml:space="preserve">but very meaningful </w:t>
      </w:r>
      <w:r w:rsidR="004C2BAD">
        <w:t xml:space="preserve">- </w:t>
      </w:r>
      <w:r w:rsidR="003D41E6">
        <w:t>benefits can also be gained by students throu</w:t>
      </w:r>
      <w:r>
        <w:t>gh th</w:t>
      </w:r>
      <w:r w:rsidR="004C2BAD">
        <w:t>eir participation in an individually-negotiated</w:t>
      </w:r>
      <w:r>
        <w:t xml:space="preserve"> programme of learning.</w:t>
      </w:r>
      <w:r w:rsidR="003263EF">
        <w:t xml:space="preserve">  These </w:t>
      </w:r>
      <w:r w:rsidR="004C2BAD">
        <w:t>‘hard to capture’</w:t>
      </w:r>
      <w:r w:rsidR="003263EF">
        <w:t xml:space="preserve"> benefits vary between individuals and are not necessarily related to the specified learning outcomes of the module.</w:t>
      </w:r>
    </w:p>
    <w:p w:rsidR="004C2BAD" w:rsidRDefault="004C2BAD" w:rsidP="003D41E6"/>
    <w:p w:rsidR="00200E3A" w:rsidRDefault="00200E3A" w:rsidP="003D41E6">
      <w:r>
        <w:t>On the basis of these reflections, the following recommendations can be made:</w:t>
      </w:r>
    </w:p>
    <w:p w:rsidR="00200E3A" w:rsidRDefault="00200E3A" w:rsidP="003D41E6"/>
    <w:p w:rsidR="00200E3A" w:rsidRDefault="006D251A" w:rsidP="0097332C">
      <w:pPr>
        <w:numPr>
          <w:ilvl w:val="0"/>
          <w:numId w:val="14"/>
        </w:numPr>
      </w:pPr>
      <w:r>
        <w:t>that</w:t>
      </w:r>
      <w:r w:rsidR="007E767A">
        <w:t xml:space="preserve"> </w:t>
      </w:r>
      <w:r>
        <w:t xml:space="preserve">tutors explore whether individually-negotiated programmes of work can be incorporated into other types of modules to encourage students to </w:t>
      </w:r>
      <w:r w:rsidR="00200E3A">
        <w:t>‘invest in themselves’</w:t>
      </w:r>
      <w:r w:rsidR="00A25B9B">
        <w:t>;</w:t>
      </w:r>
    </w:p>
    <w:p w:rsidR="006021D5" w:rsidRDefault="006021D5" w:rsidP="0097332C">
      <w:pPr>
        <w:numPr>
          <w:ilvl w:val="0"/>
          <w:numId w:val="14"/>
        </w:numPr>
      </w:pPr>
      <w:r>
        <w:t xml:space="preserve">that the effectiveness of this </w:t>
      </w:r>
      <w:r w:rsidR="004C2BAD">
        <w:t xml:space="preserve">necessarily labour-intensive teaching </w:t>
      </w:r>
      <w:r>
        <w:t>strategy when working with larger cohorts of undergraduate students be</w:t>
      </w:r>
      <w:r w:rsidR="004C2BAD">
        <w:t xml:space="preserve"> reviewed</w:t>
      </w:r>
      <w:r>
        <w:t>;</w:t>
      </w:r>
    </w:p>
    <w:p w:rsidR="001D401E" w:rsidRDefault="001D401E" w:rsidP="0097332C">
      <w:pPr>
        <w:numPr>
          <w:ilvl w:val="0"/>
          <w:numId w:val="14"/>
        </w:numPr>
      </w:pPr>
      <w:r>
        <w:t>that the effectiveness of this approach for other types of work-based learning (beyond facilitating learning) be explored;</w:t>
      </w:r>
    </w:p>
    <w:p w:rsidR="00200E3A" w:rsidRDefault="007E767A" w:rsidP="006021D5">
      <w:pPr>
        <w:numPr>
          <w:ilvl w:val="0"/>
          <w:numId w:val="14"/>
        </w:numPr>
      </w:pPr>
      <w:proofErr w:type="gramStart"/>
      <w:r>
        <w:t>that</w:t>
      </w:r>
      <w:proofErr w:type="gramEnd"/>
      <w:r>
        <w:t xml:space="preserve"> collaborations with support departments (such as the Careers Service and </w:t>
      </w:r>
      <w:r w:rsidR="001D401E">
        <w:t>Centre for Community Volunteering</w:t>
      </w:r>
      <w:r>
        <w:t>) can benefi</w:t>
      </w:r>
      <w:r w:rsidR="006021D5">
        <w:t>t students’ learning experience</w:t>
      </w:r>
      <w:r w:rsidR="00200E3A">
        <w:t>.</w:t>
      </w:r>
    </w:p>
    <w:p w:rsidR="00B4466A" w:rsidRDefault="00B4466A"/>
    <w:p w:rsidR="00C64C6E" w:rsidRDefault="00C64C6E"/>
    <w:p w:rsidR="003B6C6D" w:rsidRPr="003B6C6D" w:rsidRDefault="003B6C6D">
      <w:pPr>
        <w:rPr>
          <w:b/>
        </w:rPr>
      </w:pPr>
      <w:r w:rsidRPr="003B6C6D">
        <w:rPr>
          <w:b/>
        </w:rPr>
        <w:t>Note</w:t>
      </w:r>
    </w:p>
    <w:p w:rsidR="003B6C6D" w:rsidRDefault="003B6C6D"/>
    <w:p w:rsidR="003B6C6D" w:rsidRDefault="003B6C6D">
      <w:r>
        <w:t xml:space="preserve">Web-based PDP materials developed as part of this project can be accessed from: </w:t>
      </w:r>
      <w:hyperlink r:id="rId9" w:history="1">
        <w:r w:rsidRPr="000852B0">
          <w:rPr>
            <w:rStyle w:val="Hyperlink"/>
          </w:rPr>
          <w:t>http://pdp.northampton.ac.uk/Geography/home/index.html</w:t>
        </w:r>
      </w:hyperlink>
      <w:r>
        <w:t xml:space="preserve"> </w:t>
      </w:r>
    </w:p>
    <w:p w:rsidR="003B6C6D" w:rsidRDefault="003B6C6D"/>
    <w:p w:rsidR="003B6C6D" w:rsidRDefault="003B6C6D"/>
    <w:p w:rsidR="00C64C6E" w:rsidRPr="00C64C6E" w:rsidRDefault="00C64C6E">
      <w:pPr>
        <w:rPr>
          <w:b/>
        </w:rPr>
      </w:pPr>
      <w:r w:rsidRPr="00C64C6E">
        <w:rPr>
          <w:b/>
        </w:rPr>
        <w:t>Acknowledgements</w:t>
      </w:r>
    </w:p>
    <w:p w:rsidR="00C64C6E" w:rsidRDefault="00C64C6E"/>
    <w:p w:rsidR="00C64C6E" w:rsidRDefault="00C64C6E">
      <w:proofErr w:type="gramStart"/>
      <w:r>
        <w:t xml:space="preserve">Many thanks to the HEA Subject Centre for </w:t>
      </w:r>
      <w:r w:rsidR="007E767A">
        <w:t>GEES</w:t>
      </w:r>
      <w:r>
        <w:t xml:space="preserve"> for funding this small-scale project, and for support</w:t>
      </w:r>
      <w:r w:rsidR="007C31A6">
        <w:t xml:space="preserve"> </w:t>
      </w:r>
      <w:r w:rsidR="007E767A">
        <w:t>(</w:t>
      </w:r>
      <w:r w:rsidR="007C31A6">
        <w:t xml:space="preserve">and </w:t>
      </w:r>
      <w:r>
        <w:t>patience</w:t>
      </w:r>
      <w:r w:rsidR="007E767A">
        <w:t>!)</w:t>
      </w:r>
      <w:r>
        <w:t xml:space="preserve"> during its completion.</w:t>
      </w:r>
      <w:proofErr w:type="gramEnd"/>
      <w:r w:rsidR="007C31A6">
        <w:t xml:space="preserve">  </w:t>
      </w:r>
      <w:r>
        <w:t xml:space="preserve">Thanks </w:t>
      </w:r>
      <w:r w:rsidR="007C31A6">
        <w:t xml:space="preserve">also to the students </w:t>
      </w:r>
      <w:r>
        <w:t>who provided thoughtful and detailed feedback.</w:t>
      </w:r>
    </w:p>
    <w:p w:rsidR="00C64C6E" w:rsidRDefault="00C64C6E"/>
    <w:p w:rsidR="00C64C6E" w:rsidRDefault="00C64C6E"/>
    <w:p w:rsidR="00C64C6E" w:rsidRPr="00C64C6E" w:rsidRDefault="00C64C6E">
      <w:pPr>
        <w:rPr>
          <w:b/>
        </w:rPr>
      </w:pPr>
      <w:r w:rsidRPr="00C64C6E">
        <w:rPr>
          <w:b/>
        </w:rPr>
        <w:t>References</w:t>
      </w:r>
    </w:p>
    <w:p w:rsidR="005820D9" w:rsidRPr="005820D9" w:rsidRDefault="005820D9" w:rsidP="005820D9"/>
    <w:p w:rsidR="005820D9" w:rsidRPr="005820D9" w:rsidRDefault="005820D9" w:rsidP="005820D9">
      <w:r w:rsidRPr="005820D9">
        <w:t xml:space="preserve">Duncan, A. and </w:t>
      </w:r>
      <w:proofErr w:type="spellStart"/>
      <w:r w:rsidRPr="005820D9">
        <w:t>Weatherston</w:t>
      </w:r>
      <w:proofErr w:type="spellEnd"/>
      <w:r w:rsidRPr="005820D9">
        <w:t xml:space="preserve">, D. (2001) </w:t>
      </w:r>
      <w:proofErr w:type="gramStart"/>
      <w:r w:rsidRPr="005820D9">
        <w:t>The</w:t>
      </w:r>
      <w:proofErr w:type="gramEnd"/>
      <w:r w:rsidRPr="005820D9">
        <w:t xml:space="preserve"> personal development portfolio for Geographers and Earth Scientists – a tool to raise </w:t>
      </w:r>
      <w:r w:rsidR="004009F0">
        <w:t>employability awareness, Planet</w:t>
      </w:r>
      <w:r w:rsidRPr="005820D9">
        <w:t>, 1: pp.18-19.</w:t>
      </w:r>
    </w:p>
    <w:p w:rsidR="002307EF" w:rsidRDefault="002307EF"/>
    <w:p w:rsidR="00C95588" w:rsidRPr="00C95588" w:rsidRDefault="00C95588" w:rsidP="00C95588">
      <w:r w:rsidRPr="00C95588">
        <w:t>Gedye, S., Fender, E. and Chalkley, B. (2004) Students’ undergraduate expectations and post-graduation experiences of the value of a degree</w:t>
      </w:r>
      <w:r>
        <w:t>,</w:t>
      </w:r>
      <w:r w:rsidRPr="00C95588">
        <w:t xml:space="preserve"> Journal of Geography in Higher Education, 28(3): pp.381-396.</w:t>
      </w:r>
    </w:p>
    <w:p w:rsidR="00C95588" w:rsidRDefault="00C95588"/>
    <w:p w:rsidR="005820D9" w:rsidRPr="005820D9" w:rsidRDefault="005820D9" w:rsidP="005820D9">
      <w:pPr>
        <w:spacing w:after="50"/>
      </w:pPr>
      <w:r w:rsidRPr="005820D9">
        <w:t>Gibson, C. (2003) Geographers into teaching at Manchester Metropolitan University, Planet, 10: pp.16-18.</w:t>
      </w:r>
    </w:p>
    <w:p w:rsidR="005820D9" w:rsidRDefault="005820D9"/>
    <w:p w:rsidR="001978CE" w:rsidRDefault="001978CE">
      <w:r>
        <w:t xml:space="preserve">Kneale, P. (2007) Personal </w:t>
      </w:r>
      <w:r w:rsidR="00584D70">
        <w:t>d</w:t>
      </w:r>
      <w:r>
        <w:t xml:space="preserve">evelopment </w:t>
      </w:r>
      <w:r w:rsidR="00584D70">
        <w:t>p</w:t>
      </w:r>
      <w:r>
        <w:t>lanning (PDP) really happens at work, Planet, 18: pp. 33-35.</w:t>
      </w:r>
    </w:p>
    <w:p w:rsidR="001978CE" w:rsidRDefault="001978CE"/>
    <w:p w:rsidR="00584D70" w:rsidRDefault="00584D70">
      <w:proofErr w:type="spellStart"/>
      <w:r>
        <w:t>Lumsden</w:t>
      </w:r>
      <w:proofErr w:type="spellEnd"/>
      <w:r>
        <w:t>, P.J. (2005) Building personal development planning (PDP) into the curriculum, Planet, 15: pp. 33-35.</w:t>
      </w:r>
    </w:p>
    <w:p w:rsidR="00C95588" w:rsidRDefault="00C95588"/>
    <w:p w:rsidR="00A6740B" w:rsidRPr="00A6740B" w:rsidRDefault="00A6740B">
      <w:proofErr w:type="gramStart"/>
      <w:r>
        <w:t xml:space="preserve">Quality Assurance Agency for Higher Education (no date) Guidelines for HE Progress Files, available at </w:t>
      </w:r>
      <w:hyperlink r:id="rId10" w:anchor="pdp" w:history="1">
        <w:r w:rsidRPr="007445D2">
          <w:rPr>
            <w:rStyle w:val="Hyperlink"/>
          </w:rPr>
          <w:t>http://www.qaa.ac.uk/academicinfrastructure/progressFiles/guidelines/progfile2001.asp#pdp</w:t>
        </w:r>
      </w:hyperlink>
      <w:r>
        <w:t>, accessed July 2008.</w:t>
      </w:r>
      <w:proofErr w:type="gramEnd"/>
    </w:p>
    <w:p w:rsidR="005820D9" w:rsidRPr="005820D9" w:rsidRDefault="005820D9" w:rsidP="005820D9">
      <w:pPr>
        <w:tabs>
          <w:tab w:val="num" w:pos="720"/>
          <w:tab w:val="left" w:pos="1080"/>
        </w:tabs>
        <w:overflowPunct w:val="0"/>
        <w:autoSpaceDE w:val="0"/>
        <w:autoSpaceDN w:val="0"/>
        <w:adjustRightInd w:val="0"/>
        <w:textAlignment w:val="baseline"/>
      </w:pPr>
    </w:p>
    <w:p w:rsidR="005820D9" w:rsidRPr="005820D9" w:rsidRDefault="005820D9" w:rsidP="005820D9">
      <w:pPr>
        <w:tabs>
          <w:tab w:val="num" w:pos="720"/>
          <w:tab w:val="left" w:pos="1080"/>
        </w:tabs>
        <w:overflowPunct w:val="0"/>
        <w:autoSpaceDE w:val="0"/>
        <w:autoSpaceDN w:val="0"/>
        <w:adjustRightInd w:val="0"/>
        <w:textAlignment w:val="baseline"/>
      </w:pPr>
      <w:r w:rsidRPr="005820D9">
        <w:t>Tomkins, A. (2004) Reflective thinking on the experiences of work placements, pp. 101-103 in: Healey, M. and Roberts, J. (eds.) Engaging Students in Active Learning. Geography Discipline Network: University of Gloucestershire.</w:t>
      </w:r>
    </w:p>
    <w:p w:rsidR="005820D9" w:rsidRDefault="005820D9"/>
    <w:p w:rsidR="00C95588" w:rsidRDefault="00C95588">
      <w:r>
        <w:t>Waddington, S.B. and Wright, P.N. (2007) Student reflection: an ‘ideal world’? Planet, 18: pp. 51-54.</w:t>
      </w:r>
    </w:p>
    <w:sectPr w:rsidR="00C95588" w:rsidSect="00864D38">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7400" w:rsidRDefault="00F67400" w:rsidP="00C31489">
      <w:r>
        <w:separator/>
      </w:r>
    </w:p>
  </w:endnote>
  <w:endnote w:type="continuationSeparator" w:id="0">
    <w:p w:rsidR="00F67400" w:rsidRDefault="00F67400" w:rsidP="00C3148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400" w:rsidRDefault="00F6740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400" w:rsidRDefault="00F6740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400" w:rsidRDefault="00F674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7400" w:rsidRDefault="00F67400" w:rsidP="00C31489">
      <w:r>
        <w:separator/>
      </w:r>
    </w:p>
  </w:footnote>
  <w:footnote w:type="continuationSeparator" w:id="0">
    <w:p w:rsidR="00F67400" w:rsidRDefault="00F67400" w:rsidP="00C314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400" w:rsidRDefault="00F6740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400" w:rsidRDefault="00F6740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400" w:rsidRDefault="00F6740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91852"/>
    <w:multiLevelType w:val="hybridMultilevel"/>
    <w:tmpl w:val="5D0E75C4"/>
    <w:lvl w:ilvl="0" w:tplc="08090001">
      <w:start w:val="1"/>
      <w:numFmt w:val="bullet"/>
      <w:lvlText w:val=""/>
      <w:lvlJc w:val="left"/>
      <w:pPr>
        <w:tabs>
          <w:tab w:val="num" w:pos="360"/>
        </w:tabs>
        <w:ind w:left="360" w:hanging="360"/>
      </w:pPr>
      <w:rPr>
        <w:rFonts w:ascii="Symbol" w:hAnsi="Symbol" w:hint="default"/>
      </w:rPr>
    </w:lvl>
    <w:lvl w:ilvl="1" w:tplc="96BE8028">
      <w:start w:val="2"/>
      <w:numFmt w:val="bullet"/>
      <w:lvlText w:val="-"/>
      <w:lvlJc w:val="left"/>
      <w:pPr>
        <w:tabs>
          <w:tab w:val="num" w:pos="1080"/>
        </w:tabs>
        <w:ind w:left="1080" w:hanging="360"/>
      </w:pPr>
      <w:rPr>
        <w:rFonts w:ascii="Verdana" w:eastAsia="Times New Roman" w:hAnsi="Verdana" w:cs="Times New Roman"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nsid w:val="0A865AF6"/>
    <w:multiLevelType w:val="hybridMultilevel"/>
    <w:tmpl w:val="CD3E501A"/>
    <w:lvl w:ilvl="0" w:tplc="96BE8028">
      <w:start w:val="2"/>
      <w:numFmt w:val="bullet"/>
      <w:lvlText w:val="-"/>
      <w:lvlJc w:val="left"/>
      <w:pPr>
        <w:tabs>
          <w:tab w:val="num" w:pos="360"/>
        </w:tabs>
        <w:ind w:left="360" w:hanging="360"/>
      </w:pPr>
      <w:rPr>
        <w:rFonts w:ascii="Verdana" w:eastAsia="Times New Roman" w:hAnsi="Verdana"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nsid w:val="11214679"/>
    <w:multiLevelType w:val="hybridMultilevel"/>
    <w:tmpl w:val="A8A2BD42"/>
    <w:lvl w:ilvl="0" w:tplc="08090001">
      <w:start w:val="1"/>
      <w:numFmt w:val="bullet"/>
      <w:lvlText w:val=""/>
      <w:lvlJc w:val="left"/>
      <w:pPr>
        <w:tabs>
          <w:tab w:val="num" w:pos="360"/>
        </w:tabs>
        <w:ind w:left="360" w:hanging="360"/>
      </w:pPr>
      <w:rPr>
        <w:rFonts w:ascii="Symbol" w:hAnsi="Symbol" w:hint="default"/>
      </w:rPr>
    </w:lvl>
    <w:lvl w:ilvl="1" w:tplc="96BE8028">
      <w:start w:val="2"/>
      <w:numFmt w:val="bullet"/>
      <w:lvlText w:val="-"/>
      <w:lvlJc w:val="left"/>
      <w:pPr>
        <w:tabs>
          <w:tab w:val="num" w:pos="1080"/>
        </w:tabs>
        <w:ind w:left="1080" w:hanging="360"/>
      </w:pPr>
      <w:rPr>
        <w:rFonts w:ascii="Verdana" w:eastAsia="Times New Roman" w:hAnsi="Verdana" w:cs="Times New Roman"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nsid w:val="30F57117"/>
    <w:multiLevelType w:val="hybridMultilevel"/>
    <w:tmpl w:val="A93E2B5E"/>
    <w:lvl w:ilvl="0" w:tplc="08090001">
      <w:start w:val="1"/>
      <w:numFmt w:val="bullet"/>
      <w:lvlText w:val=""/>
      <w:lvlJc w:val="left"/>
      <w:pPr>
        <w:tabs>
          <w:tab w:val="num" w:pos="360"/>
        </w:tabs>
        <w:ind w:left="360" w:hanging="360"/>
      </w:pPr>
      <w:rPr>
        <w:rFonts w:ascii="Symbol" w:hAnsi="Symbol" w:hint="default"/>
      </w:rPr>
    </w:lvl>
    <w:lvl w:ilvl="1" w:tplc="96BE8028">
      <w:start w:val="2"/>
      <w:numFmt w:val="bullet"/>
      <w:lvlText w:val="-"/>
      <w:lvlJc w:val="left"/>
      <w:pPr>
        <w:tabs>
          <w:tab w:val="num" w:pos="1080"/>
        </w:tabs>
        <w:ind w:left="1080" w:hanging="360"/>
      </w:pPr>
      <w:rPr>
        <w:rFonts w:ascii="Verdana" w:eastAsia="Times New Roman" w:hAnsi="Verdana" w:cs="Times New Roman"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nsid w:val="4433256B"/>
    <w:multiLevelType w:val="hybridMultilevel"/>
    <w:tmpl w:val="9E56B474"/>
    <w:lvl w:ilvl="0" w:tplc="0809000F">
      <w:start w:val="1"/>
      <w:numFmt w:val="decimal"/>
      <w:lvlText w:val="%1."/>
      <w:lvlJc w:val="left"/>
      <w:pPr>
        <w:tabs>
          <w:tab w:val="num" w:pos="360"/>
        </w:tabs>
        <w:ind w:left="360" w:hanging="360"/>
      </w:pPr>
      <w:rPr>
        <w:rFont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nsid w:val="4ADE662C"/>
    <w:multiLevelType w:val="hybridMultilevel"/>
    <w:tmpl w:val="3BB2676C"/>
    <w:lvl w:ilvl="0" w:tplc="08090017">
      <w:start w:val="1"/>
      <w:numFmt w:val="lowerLetter"/>
      <w:lvlText w:val="%1)"/>
      <w:lvlJc w:val="left"/>
      <w:pPr>
        <w:tabs>
          <w:tab w:val="num" w:pos="360"/>
        </w:tabs>
        <w:ind w:left="360" w:hanging="36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543A05FE"/>
    <w:multiLevelType w:val="hybridMultilevel"/>
    <w:tmpl w:val="37E477D6"/>
    <w:lvl w:ilvl="0" w:tplc="FFFFFFF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7">
    <w:nsid w:val="55DD5546"/>
    <w:multiLevelType w:val="hybridMultilevel"/>
    <w:tmpl w:val="2B5017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56A1342A"/>
    <w:multiLevelType w:val="hybridMultilevel"/>
    <w:tmpl w:val="D1BA6C30"/>
    <w:lvl w:ilvl="0" w:tplc="96BE8028">
      <w:start w:val="2"/>
      <w:numFmt w:val="bullet"/>
      <w:lvlText w:val="-"/>
      <w:lvlJc w:val="left"/>
      <w:pPr>
        <w:tabs>
          <w:tab w:val="num" w:pos="360"/>
        </w:tabs>
        <w:ind w:left="360" w:hanging="360"/>
      </w:pPr>
      <w:rPr>
        <w:rFonts w:ascii="Verdana" w:eastAsia="Times New Roman" w:hAnsi="Verdana" w:cs="Times New Roman"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nsid w:val="6171755B"/>
    <w:multiLevelType w:val="hybridMultilevel"/>
    <w:tmpl w:val="AC54B07A"/>
    <w:lvl w:ilvl="0" w:tplc="0276EA8C">
      <w:start w:val="1"/>
      <w:numFmt w:val="bullet"/>
      <w:lvlText w:val="-"/>
      <w:lvlJc w:val="left"/>
      <w:pPr>
        <w:tabs>
          <w:tab w:val="num" w:pos="720"/>
        </w:tabs>
        <w:ind w:left="720" w:hanging="360"/>
      </w:pPr>
      <w:rPr>
        <w:rFonts w:ascii="Verdana" w:eastAsia="Times New Roman" w:hAnsi="Verdana"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61802C46"/>
    <w:multiLevelType w:val="multilevel"/>
    <w:tmpl w:val="69403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B597BEE"/>
    <w:multiLevelType w:val="hybridMultilevel"/>
    <w:tmpl w:val="347CFECE"/>
    <w:lvl w:ilvl="0" w:tplc="1A185110">
      <w:start w:val="1"/>
      <w:numFmt w:val="bullet"/>
      <w:lvlText w:val="-"/>
      <w:lvlJc w:val="left"/>
      <w:pPr>
        <w:tabs>
          <w:tab w:val="num" w:pos="720"/>
        </w:tabs>
        <w:ind w:left="720" w:hanging="360"/>
      </w:pPr>
      <w:rPr>
        <w:rFonts w:ascii="Verdana" w:eastAsia="Times New Roman" w:hAnsi="Verdana"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710F0B9E"/>
    <w:multiLevelType w:val="hybridMultilevel"/>
    <w:tmpl w:val="22902EE6"/>
    <w:lvl w:ilvl="0" w:tplc="96BE8028">
      <w:start w:val="2"/>
      <w:numFmt w:val="bullet"/>
      <w:lvlText w:val="-"/>
      <w:lvlJc w:val="left"/>
      <w:pPr>
        <w:tabs>
          <w:tab w:val="num" w:pos="720"/>
        </w:tabs>
        <w:ind w:left="720" w:hanging="360"/>
      </w:pPr>
      <w:rPr>
        <w:rFonts w:ascii="Verdana" w:eastAsia="Times New Roman" w:hAnsi="Verdana"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75C9600A"/>
    <w:multiLevelType w:val="multilevel"/>
    <w:tmpl w:val="A8A2BD42"/>
    <w:lvl w:ilvl="0">
      <w:start w:val="1"/>
      <w:numFmt w:val="bullet"/>
      <w:lvlText w:val=""/>
      <w:lvlJc w:val="left"/>
      <w:pPr>
        <w:tabs>
          <w:tab w:val="num" w:pos="360"/>
        </w:tabs>
        <w:ind w:left="360" w:hanging="360"/>
      </w:pPr>
      <w:rPr>
        <w:rFonts w:ascii="Symbol" w:hAnsi="Symbol" w:hint="default"/>
      </w:rPr>
    </w:lvl>
    <w:lvl w:ilvl="1">
      <w:start w:val="2"/>
      <w:numFmt w:val="bullet"/>
      <w:lvlText w:val="-"/>
      <w:lvlJc w:val="left"/>
      <w:pPr>
        <w:tabs>
          <w:tab w:val="num" w:pos="1080"/>
        </w:tabs>
        <w:ind w:left="1080" w:hanging="360"/>
      </w:pPr>
      <w:rPr>
        <w:rFonts w:ascii="Verdana" w:eastAsia="Times New Roman" w:hAnsi="Verdana"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num w:numId="1">
    <w:abstractNumId w:val="10"/>
  </w:num>
  <w:num w:numId="2">
    <w:abstractNumId w:val="2"/>
  </w:num>
  <w:num w:numId="3">
    <w:abstractNumId w:val="4"/>
  </w:num>
  <w:num w:numId="4">
    <w:abstractNumId w:val="5"/>
  </w:num>
  <w:num w:numId="5">
    <w:abstractNumId w:val="12"/>
  </w:num>
  <w:num w:numId="6">
    <w:abstractNumId w:val="6"/>
  </w:num>
  <w:num w:numId="7">
    <w:abstractNumId w:val="8"/>
  </w:num>
  <w:num w:numId="8">
    <w:abstractNumId w:val="1"/>
  </w:num>
  <w:num w:numId="9">
    <w:abstractNumId w:val="11"/>
  </w:num>
  <w:num w:numId="10">
    <w:abstractNumId w:val="9"/>
  </w:num>
  <w:num w:numId="11">
    <w:abstractNumId w:val="13"/>
  </w:num>
  <w:num w:numId="12">
    <w:abstractNumId w:val="3"/>
  </w:num>
  <w:num w:numId="13">
    <w:abstractNumId w:val="0"/>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0"/>
  <w:removePersonalInformation/>
  <w:removeDateAndTime/>
  <w:displayBackgroundShape/>
  <w:proofState w:spelling="clean" w:grammar="clean"/>
  <w:stylePaneFormatFilter w:val="3F01"/>
  <w:doNotTrackMoves/>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64C6E"/>
    <w:rsid w:val="0006248E"/>
    <w:rsid w:val="00074689"/>
    <w:rsid w:val="000B3F45"/>
    <w:rsid w:val="000D1DC4"/>
    <w:rsid w:val="001515E0"/>
    <w:rsid w:val="0017695D"/>
    <w:rsid w:val="00177E10"/>
    <w:rsid w:val="00192B01"/>
    <w:rsid w:val="001978CE"/>
    <w:rsid w:val="001C6B33"/>
    <w:rsid w:val="001C6C11"/>
    <w:rsid w:val="001D401E"/>
    <w:rsid w:val="00200E3A"/>
    <w:rsid w:val="00212E05"/>
    <w:rsid w:val="00213F06"/>
    <w:rsid w:val="002236F6"/>
    <w:rsid w:val="002307EF"/>
    <w:rsid w:val="002460C1"/>
    <w:rsid w:val="00251A23"/>
    <w:rsid w:val="002551E9"/>
    <w:rsid w:val="0027620D"/>
    <w:rsid w:val="00284F9E"/>
    <w:rsid w:val="00292997"/>
    <w:rsid w:val="002A47EE"/>
    <w:rsid w:val="002D2C35"/>
    <w:rsid w:val="002E51A2"/>
    <w:rsid w:val="0032354E"/>
    <w:rsid w:val="003263EF"/>
    <w:rsid w:val="0034180B"/>
    <w:rsid w:val="0034197B"/>
    <w:rsid w:val="00392726"/>
    <w:rsid w:val="003B6C6D"/>
    <w:rsid w:val="003B71E6"/>
    <w:rsid w:val="003D3E79"/>
    <w:rsid w:val="003D41E6"/>
    <w:rsid w:val="004009F0"/>
    <w:rsid w:val="004362E5"/>
    <w:rsid w:val="004534C9"/>
    <w:rsid w:val="004918F5"/>
    <w:rsid w:val="004B3110"/>
    <w:rsid w:val="004C2BAD"/>
    <w:rsid w:val="004C713B"/>
    <w:rsid w:val="005122E7"/>
    <w:rsid w:val="005523AB"/>
    <w:rsid w:val="005820D9"/>
    <w:rsid w:val="00584D70"/>
    <w:rsid w:val="005A2D64"/>
    <w:rsid w:val="005C7B53"/>
    <w:rsid w:val="005D645D"/>
    <w:rsid w:val="006021D5"/>
    <w:rsid w:val="00606809"/>
    <w:rsid w:val="006123FA"/>
    <w:rsid w:val="006411AE"/>
    <w:rsid w:val="00691F24"/>
    <w:rsid w:val="00697752"/>
    <w:rsid w:val="006D251A"/>
    <w:rsid w:val="006D6842"/>
    <w:rsid w:val="006F403A"/>
    <w:rsid w:val="007066EA"/>
    <w:rsid w:val="007403D8"/>
    <w:rsid w:val="007A4733"/>
    <w:rsid w:val="007A69D6"/>
    <w:rsid w:val="007B1DC4"/>
    <w:rsid w:val="007B74A4"/>
    <w:rsid w:val="007C31A6"/>
    <w:rsid w:val="007E6D78"/>
    <w:rsid w:val="007E767A"/>
    <w:rsid w:val="007F0A3B"/>
    <w:rsid w:val="007F2789"/>
    <w:rsid w:val="007F619E"/>
    <w:rsid w:val="008578A7"/>
    <w:rsid w:val="00864D38"/>
    <w:rsid w:val="008E0CB0"/>
    <w:rsid w:val="008E5A48"/>
    <w:rsid w:val="008F7E27"/>
    <w:rsid w:val="00933C99"/>
    <w:rsid w:val="0097332C"/>
    <w:rsid w:val="00974AB9"/>
    <w:rsid w:val="009B22F9"/>
    <w:rsid w:val="009B59C9"/>
    <w:rsid w:val="009D5572"/>
    <w:rsid w:val="009F1E68"/>
    <w:rsid w:val="00A0310F"/>
    <w:rsid w:val="00A25B9B"/>
    <w:rsid w:val="00A3607D"/>
    <w:rsid w:val="00A6740B"/>
    <w:rsid w:val="00A7526B"/>
    <w:rsid w:val="00A9130E"/>
    <w:rsid w:val="00AB3FC9"/>
    <w:rsid w:val="00AC14D6"/>
    <w:rsid w:val="00AE6755"/>
    <w:rsid w:val="00B121D0"/>
    <w:rsid w:val="00B31435"/>
    <w:rsid w:val="00B4466A"/>
    <w:rsid w:val="00B81421"/>
    <w:rsid w:val="00B87CA5"/>
    <w:rsid w:val="00BA0296"/>
    <w:rsid w:val="00BA11D0"/>
    <w:rsid w:val="00BA2A1A"/>
    <w:rsid w:val="00C051E7"/>
    <w:rsid w:val="00C11F3C"/>
    <w:rsid w:val="00C12E4A"/>
    <w:rsid w:val="00C31489"/>
    <w:rsid w:val="00C420B7"/>
    <w:rsid w:val="00C4440E"/>
    <w:rsid w:val="00C56588"/>
    <w:rsid w:val="00C64C6E"/>
    <w:rsid w:val="00C677C6"/>
    <w:rsid w:val="00C9112F"/>
    <w:rsid w:val="00C95588"/>
    <w:rsid w:val="00CB092B"/>
    <w:rsid w:val="00CD56B4"/>
    <w:rsid w:val="00CF3251"/>
    <w:rsid w:val="00D01E34"/>
    <w:rsid w:val="00D06FE0"/>
    <w:rsid w:val="00D30DEA"/>
    <w:rsid w:val="00D35F2C"/>
    <w:rsid w:val="00D47852"/>
    <w:rsid w:val="00D74D0E"/>
    <w:rsid w:val="00D765AF"/>
    <w:rsid w:val="00D85888"/>
    <w:rsid w:val="00DB29BD"/>
    <w:rsid w:val="00DF00BD"/>
    <w:rsid w:val="00E12496"/>
    <w:rsid w:val="00E73676"/>
    <w:rsid w:val="00E74FA5"/>
    <w:rsid w:val="00E776C2"/>
    <w:rsid w:val="00EC4FCD"/>
    <w:rsid w:val="00EE01A0"/>
    <w:rsid w:val="00F01317"/>
    <w:rsid w:val="00F41EE5"/>
    <w:rsid w:val="00F57267"/>
    <w:rsid w:val="00F67400"/>
    <w:rsid w:val="00F75F0C"/>
    <w:rsid w:val="00FE52C7"/>
  </w:rsids>
  <m:mathPr>
    <m:mathFont m:val="Cambria Math"/>
    <m:brkBin m:val="before"/>
    <m:brkBinSub m:val="--"/>
    <m:smallFrac m:val="off"/>
    <m:dispDef/>
    <m:lMargin m:val="0"/>
    <m:rMargin m:val="0"/>
    <m:defJc m:val="centerGroup"/>
    <m:wrapIndent m:val="1440"/>
    <m:intLim m:val="subSup"/>
    <m:naryLim m:val="undOvr"/>
  </m:mathPr>
  <w:uiCompat97To2003/>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3676"/>
    <w:rPr>
      <w:rFonts w:ascii="Verdana" w:hAnsi="Verdana"/>
      <w:sz w:val="22"/>
      <w:szCs w:val="22"/>
    </w:rPr>
  </w:style>
  <w:style w:type="paragraph" w:styleId="Heading4">
    <w:name w:val="heading 4"/>
    <w:basedOn w:val="Normal"/>
    <w:qFormat/>
    <w:rsid w:val="004918F5"/>
    <w:pPr>
      <w:spacing w:before="100" w:beforeAutospacing="1" w:after="100" w:afterAutospacing="1"/>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918F5"/>
    <w:pPr>
      <w:spacing w:before="100" w:beforeAutospacing="1" w:after="100" w:afterAutospacing="1"/>
    </w:pPr>
    <w:rPr>
      <w:rFonts w:ascii="Times New Roman" w:hAnsi="Times New Roman"/>
      <w:sz w:val="24"/>
      <w:szCs w:val="24"/>
    </w:rPr>
  </w:style>
  <w:style w:type="character" w:styleId="Hyperlink">
    <w:name w:val="Hyperlink"/>
    <w:basedOn w:val="DefaultParagraphFont"/>
    <w:rsid w:val="004918F5"/>
    <w:rPr>
      <w:color w:val="0000FF"/>
      <w:u w:val="single"/>
    </w:rPr>
  </w:style>
  <w:style w:type="paragraph" w:customStyle="1" w:styleId="Level1">
    <w:name w:val="Level 1"/>
    <w:rsid w:val="002307EF"/>
    <w:pPr>
      <w:widowControl w:val="0"/>
      <w:ind w:left="720"/>
      <w:jc w:val="both"/>
    </w:pPr>
    <w:rPr>
      <w:snapToGrid w:val="0"/>
      <w:sz w:val="24"/>
      <w:lang w:eastAsia="en-US"/>
    </w:rPr>
  </w:style>
  <w:style w:type="character" w:styleId="Strong">
    <w:name w:val="Strong"/>
    <w:basedOn w:val="DefaultParagraphFont"/>
    <w:qFormat/>
    <w:rsid w:val="000B3F45"/>
    <w:rPr>
      <w:b/>
      <w:bCs/>
    </w:rPr>
  </w:style>
  <w:style w:type="table" w:styleId="TableGrid">
    <w:name w:val="Table Grid"/>
    <w:basedOn w:val="TableNormal"/>
    <w:rsid w:val="007A69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C12E4A"/>
    <w:rPr>
      <w:rFonts w:ascii="Tahoma" w:hAnsi="Tahoma" w:cs="Tahoma"/>
      <w:sz w:val="16"/>
      <w:szCs w:val="16"/>
    </w:rPr>
  </w:style>
  <w:style w:type="character" w:styleId="CommentReference">
    <w:name w:val="annotation reference"/>
    <w:basedOn w:val="DefaultParagraphFont"/>
    <w:semiHidden/>
    <w:rsid w:val="00C12E4A"/>
    <w:rPr>
      <w:sz w:val="16"/>
      <w:szCs w:val="16"/>
    </w:rPr>
  </w:style>
  <w:style w:type="paragraph" w:styleId="CommentText">
    <w:name w:val="annotation text"/>
    <w:basedOn w:val="Normal"/>
    <w:semiHidden/>
    <w:rsid w:val="00C12E4A"/>
    <w:rPr>
      <w:sz w:val="20"/>
      <w:szCs w:val="20"/>
    </w:rPr>
  </w:style>
  <w:style w:type="paragraph" w:styleId="CommentSubject">
    <w:name w:val="annotation subject"/>
    <w:basedOn w:val="CommentText"/>
    <w:next w:val="CommentText"/>
    <w:semiHidden/>
    <w:rsid w:val="00C12E4A"/>
    <w:rPr>
      <w:b/>
      <w:bCs/>
    </w:rPr>
  </w:style>
  <w:style w:type="paragraph" w:styleId="Header">
    <w:name w:val="header"/>
    <w:basedOn w:val="Normal"/>
    <w:link w:val="HeaderChar"/>
    <w:rsid w:val="00C31489"/>
    <w:pPr>
      <w:tabs>
        <w:tab w:val="center" w:pos="4513"/>
        <w:tab w:val="right" w:pos="9026"/>
      </w:tabs>
    </w:pPr>
  </w:style>
  <w:style w:type="character" w:customStyle="1" w:styleId="HeaderChar">
    <w:name w:val="Header Char"/>
    <w:basedOn w:val="DefaultParagraphFont"/>
    <w:link w:val="Header"/>
    <w:rsid w:val="00C31489"/>
    <w:rPr>
      <w:rFonts w:ascii="Verdana" w:hAnsi="Verdana"/>
      <w:sz w:val="22"/>
      <w:szCs w:val="22"/>
      <w:lang w:eastAsia="en-GB"/>
    </w:rPr>
  </w:style>
  <w:style w:type="paragraph" w:styleId="Footer">
    <w:name w:val="footer"/>
    <w:basedOn w:val="Normal"/>
    <w:link w:val="FooterChar"/>
    <w:rsid w:val="00C31489"/>
    <w:pPr>
      <w:tabs>
        <w:tab w:val="center" w:pos="4513"/>
        <w:tab w:val="right" w:pos="9026"/>
      </w:tabs>
    </w:pPr>
  </w:style>
  <w:style w:type="character" w:customStyle="1" w:styleId="FooterChar">
    <w:name w:val="Footer Char"/>
    <w:basedOn w:val="DefaultParagraphFont"/>
    <w:link w:val="Footer"/>
    <w:rsid w:val="00C31489"/>
    <w:rPr>
      <w:rFonts w:ascii="Verdana" w:hAnsi="Verdana"/>
      <w:sz w:val="22"/>
      <w:szCs w:val="22"/>
      <w:lang w:eastAsia="en-GB"/>
    </w:rPr>
  </w:style>
</w:styles>
</file>

<file path=word/webSettings.xml><?xml version="1.0" encoding="utf-8"?>
<w:webSettings xmlns:r="http://schemas.openxmlformats.org/officeDocument/2006/relationships" xmlns:w="http://schemas.openxmlformats.org/wordprocessingml/2006/main">
  <w:divs>
    <w:div w:id="297538756">
      <w:bodyDiv w:val="1"/>
      <w:marLeft w:val="0"/>
      <w:marRight w:val="0"/>
      <w:marTop w:val="0"/>
      <w:marBottom w:val="0"/>
      <w:divBdr>
        <w:top w:val="none" w:sz="0" w:space="0" w:color="auto"/>
        <w:left w:val="none" w:sz="0" w:space="0" w:color="auto"/>
        <w:bottom w:val="none" w:sz="0" w:space="0" w:color="auto"/>
        <w:right w:val="none" w:sz="0" w:space="0" w:color="auto"/>
      </w:divBdr>
      <w:divsChild>
        <w:div w:id="687684859">
          <w:marLeft w:val="0"/>
          <w:marRight w:val="0"/>
          <w:marTop w:val="0"/>
          <w:marBottom w:val="0"/>
          <w:divBdr>
            <w:top w:val="none" w:sz="0" w:space="0" w:color="auto"/>
            <w:left w:val="none" w:sz="0" w:space="0" w:color="auto"/>
            <w:bottom w:val="none" w:sz="0" w:space="0" w:color="auto"/>
            <w:right w:val="none" w:sz="0" w:space="0" w:color="auto"/>
          </w:divBdr>
          <w:divsChild>
            <w:div w:id="218329364">
              <w:marLeft w:val="0"/>
              <w:marRight w:val="0"/>
              <w:marTop w:val="0"/>
              <w:marBottom w:val="0"/>
              <w:divBdr>
                <w:top w:val="none" w:sz="0" w:space="0" w:color="auto"/>
                <w:left w:val="none" w:sz="0" w:space="0" w:color="auto"/>
                <w:bottom w:val="none" w:sz="0" w:space="0" w:color="auto"/>
                <w:right w:val="none" w:sz="0" w:space="0" w:color="auto"/>
              </w:divBdr>
              <w:divsChild>
                <w:div w:id="1759211481">
                  <w:marLeft w:val="0"/>
                  <w:marRight w:val="0"/>
                  <w:marTop w:val="0"/>
                  <w:marBottom w:val="0"/>
                  <w:divBdr>
                    <w:top w:val="none" w:sz="0" w:space="0" w:color="auto"/>
                    <w:left w:val="none" w:sz="0" w:space="0" w:color="auto"/>
                    <w:bottom w:val="none" w:sz="0" w:space="0" w:color="auto"/>
                    <w:right w:val="none" w:sz="0" w:space="0" w:color="auto"/>
                  </w:divBdr>
                  <w:divsChild>
                    <w:div w:id="205532076">
                      <w:marLeft w:val="474"/>
                      <w:marRight w:val="0"/>
                      <w:marTop w:val="0"/>
                      <w:marBottom w:val="0"/>
                      <w:divBdr>
                        <w:top w:val="none" w:sz="0" w:space="0" w:color="auto"/>
                        <w:left w:val="none" w:sz="0" w:space="0" w:color="auto"/>
                        <w:bottom w:val="none" w:sz="0" w:space="0" w:color="auto"/>
                        <w:right w:val="none" w:sz="0" w:space="0" w:color="auto"/>
                      </w:divBdr>
                      <w:divsChild>
                        <w:div w:id="213852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5370425">
      <w:bodyDiv w:val="1"/>
      <w:marLeft w:val="0"/>
      <w:marRight w:val="0"/>
      <w:marTop w:val="0"/>
      <w:marBottom w:val="0"/>
      <w:divBdr>
        <w:top w:val="none" w:sz="0" w:space="0" w:color="auto"/>
        <w:left w:val="none" w:sz="0" w:space="0" w:color="auto"/>
        <w:bottom w:val="none" w:sz="0" w:space="0" w:color="auto"/>
        <w:right w:val="none" w:sz="0" w:space="0" w:color="auto"/>
      </w:divBdr>
      <w:divsChild>
        <w:div w:id="1183281317">
          <w:marLeft w:val="0"/>
          <w:marRight w:val="0"/>
          <w:marTop w:val="0"/>
          <w:marBottom w:val="0"/>
          <w:divBdr>
            <w:top w:val="none" w:sz="0" w:space="0" w:color="auto"/>
            <w:left w:val="none" w:sz="0" w:space="0" w:color="auto"/>
            <w:bottom w:val="none" w:sz="0" w:space="0" w:color="auto"/>
            <w:right w:val="none" w:sz="0" w:space="0" w:color="auto"/>
          </w:divBdr>
          <w:divsChild>
            <w:div w:id="109593166">
              <w:marLeft w:val="0"/>
              <w:marRight w:val="0"/>
              <w:marTop w:val="0"/>
              <w:marBottom w:val="0"/>
              <w:divBdr>
                <w:top w:val="none" w:sz="0" w:space="0" w:color="auto"/>
                <w:left w:val="none" w:sz="0" w:space="0" w:color="auto"/>
                <w:bottom w:val="none" w:sz="0" w:space="0" w:color="auto"/>
                <w:right w:val="none" w:sz="0" w:space="0" w:color="auto"/>
              </w:divBdr>
            </w:div>
            <w:div w:id="379135395">
              <w:marLeft w:val="0"/>
              <w:marRight w:val="0"/>
              <w:marTop w:val="0"/>
              <w:marBottom w:val="0"/>
              <w:divBdr>
                <w:top w:val="none" w:sz="0" w:space="0" w:color="auto"/>
                <w:left w:val="none" w:sz="0" w:space="0" w:color="auto"/>
                <w:bottom w:val="none" w:sz="0" w:space="0" w:color="auto"/>
                <w:right w:val="none" w:sz="0" w:space="0" w:color="auto"/>
              </w:divBdr>
            </w:div>
            <w:div w:id="505677060">
              <w:marLeft w:val="0"/>
              <w:marRight w:val="0"/>
              <w:marTop w:val="0"/>
              <w:marBottom w:val="0"/>
              <w:divBdr>
                <w:top w:val="none" w:sz="0" w:space="0" w:color="auto"/>
                <w:left w:val="none" w:sz="0" w:space="0" w:color="auto"/>
                <w:bottom w:val="none" w:sz="0" w:space="0" w:color="auto"/>
                <w:right w:val="none" w:sz="0" w:space="0" w:color="auto"/>
              </w:divBdr>
            </w:div>
            <w:div w:id="555356595">
              <w:marLeft w:val="0"/>
              <w:marRight w:val="0"/>
              <w:marTop w:val="0"/>
              <w:marBottom w:val="0"/>
              <w:divBdr>
                <w:top w:val="none" w:sz="0" w:space="0" w:color="auto"/>
                <w:left w:val="none" w:sz="0" w:space="0" w:color="auto"/>
                <w:bottom w:val="none" w:sz="0" w:space="0" w:color="auto"/>
                <w:right w:val="none" w:sz="0" w:space="0" w:color="auto"/>
              </w:divBdr>
            </w:div>
            <w:div w:id="989138797">
              <w:marLeft w:val="0"/>
              <w:marRight w:val="0"/>
              <w:marTop w:val="0"/>
              <w:marBottom w:val="0"/>
              <w:divBdr>
                <w:top w:val="none" w:sz="0" w:space="0" w:color="auto"/>
                <w:left w:val="none" w:sz="0" w:space="0" w:color="auto"/>
                <w:bottom w:val="none" w:sz="0" w:space="0" w:color="auto"/>
                <w:right w:val="none" w:sz="0" w:space="0" w:color="auto"/>
              </w:divBdr>
            </w:div>
            <w:div w:id="1023559739">
              <w:marLeft w:val="0"/>
              <w:marRight w:val="0"/>
              <w:marTop w:val="0"/>
              <w:marBottom w:val="0"/>
              <w:divBdr>
                <w:top w:val="none" w:sz="0" w:space="0" w:color="auto"/>
                <w:left w:val="none" w:sz="0" w:space="0" w:color="auto"/>
                <w:bottom w:val="none" w:sz="0" w:space="0" w:color="auto"/>
                <w:right w:val="none" w:sz="0" w:space="0" w:color="auto"/>
              </w:divBdr>
            </w:div>
            <w:div w:id="1685862104">
              <w:marLeft w:val="0"/>
              <w:marRight w:val="0"/>
              <w:marTop w:val="0"/>
              <w:marBottom w:val="0"/>
              <w:divBdr>
                <w:top w:val="none" w:sz="0" w:space="0" w:color="auto"/>
                <w:left w:val="none" w:sz="0" w:space="0" w:color="auto"/>
                <w:bottom w:val="none" w:sz="0" w:space="0" w:color="auto"/>
                <w:right w:val="none" w:sz="0" w:space="0" w:color="auto"/>
              </w:divBdr>
            </w:div>
            <w:div w:id="2094859174">
              <w:marLeft w:val="0"/>
              <w:marRight w:val="0"/>
              <w:marTop w:val="0"/>
              <w:marBottom w:val="0"/>
              <w:divBdr>
                <w:top w:val="none" w:sz="0" w:space="0" w:color="auto"/>
                <w:left w:val="none" w:sz="0" w:space="0" w:color="auto"/>
                <w:bottom w:val="none" w:sz="0" w:space="0" w:color="auto"/>
                <w:right w:val="none" w:sz="0" w:space="0" w:color="auto"/>
              </w:divBdr>
            </w:div>
            <w:div w:id="213883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ees.ac.uk/projtheme/emp/empprofs.ht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qaa.ac.uk/academicinfrastructure/progressFiles/guidelines/progfile2001.asp" TargetMode="External"/><Relationship Id="rId4" Type="http://schemas.openxmlformats.org/officeDocument/2006/relationships/settings" Target="settings.xml"/><Relationship Id="rId9" Type="http://schemas.openxmlformats.org/officeDocument/2006/relationships/hyperlink" Target="http://pdp.northampton.ac.uk/Geography/home/index.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29F64-75A1-4224-A32B-543C3C797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2349</Words>
  <Characters>13415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15733</CharactersWithSpaces>
  <SharedDoc>false</SharedDoc>
  <HLinks>
    <vt:vector size="12" baseType="variant">
      <vt:variant>
        <vt:i4>3866727</vt:i4>
      </vt:variant>
      <vt:variant>
        <vt:i4>3</vt:i4>
      </vt:variant>
      <vt:variant>
        <vt:i4>0</vt:i4>
      </vt:variant>
      <vt:variant>
        <vt:i4>5</vt:i4>
      </vt:variant>
      <vt:variant>
        <vt:lpwstr>http://www.qaa.ac.uk/academicinfrastructure/progressFiles/guidelines/progfile2001.asp</vt:lpwstr>
      </vt:variant>
      <vt:variant>
        <vt:lpwstr>pdp</vt:lpwstr>
      </vt:variant>
      <vt:variant>
        <vt:i4>4849735</vt:i4>
      </vt:variant>
      <vt:variant>
        <vt:i4>0</vt:i4>
      </vt:variant>
      <vt:variant>
        <vt:i4>0</vt:i4>
      </vt:variant>
      <vt:variant>
        <vt:i4>5</vt:i4>
      </vt:variant>
      <vt:variant>
        <vt:lpwstr>http://www.gees.ac.uk/projtheme/emp/empprofs.htm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2010-04-15T13:39:00Z</dcterms:created>
  <dcterms:modified xsi:type="dcterms:W3CDTF">2010-04-15T15:47:00Z</dcterms:modified>
</cp:coreProperties>
</file>