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8D87" w14:textId="77777777" w:rsidR="00612637" w:rsidRPr="002C5B21" w:rsidRDefault="00612637" w:rsidP="00612637">
      <w:pPr>
        <w:pStyle w:val="Heading1"/>
        <w:spacing w:line="360" w:lineRule="auto"/>
        <w:jc w:val="center"/>
        <w:rPr>
          <w:rStyle w:val="fontbold"/>
          <w:rFonts w:ascii="Times New Roman" w:hAnsi="Times New Roman" w:cs="Times New Roman"/>
          <w:b/>
          <w:color w:val="auto"/>
          <w:sz w:val="22"/>
          <w:szCs w:val="22"/>
        </w:rPr>
      </w:pPr>
      <w:bookmarkStart w:id="0" w:name="_GoBack"/>
      <w:r w:rsidRPr="002C5B21">
        <w:rPr>
          <w:rStyle w:val="fontbold"/>
          <w:rFonts w:ascii="Times New Roman" w:hAnsi="Times New Roman" w:cs="Times New Roman"/>
          <w:b/>
          <w:color w:val="auto"/>
          <w:sz w:val="22"/>
          <w:szCs w:val="22"/>
        </w:rPr>
        <w:t>Capabilities-based Gender Equality Analysis of Educational Policy-making and Reform in Turkey</w:t>
      </w:r>
    </w:p>
    <w:bookmarkEnd w:id="0"/>
    <w:p w14:paraId="12B42BB8" w14:textId="77777777" w:rsidR="00612637" w:rsidRPr="002C5B21" w:rsidRDefault="00612637" w:rsidP="00612637">
      <w:pPr>
        <w:pStyle w:val="NoSpacing"/>
        <w:rPr>
          <w:rFonts w:ascii="Times New Roman" w:hAnsi="Times New Roman" w:cs="Times New Roman"/>
          <w:b/>
        </w:rPr>
      </w:pPr>
    </w:p>
    <w:p w14:paraId="24FDE3BF" w14:textId="77777777" w:rsidR="00612637" w:rsidRPr="002C5B21" w:rsidRDefault="00612637" w:rsidP="00612637">
      <w:pPr>
        <w:spacing w:after="0" w:line="240" w:lineRule="auto"/>
        <w:jc w:val="center"/>
        <w:rPr>
          <w:rFonts w:ascii="Times New Roman" w:hAnsi="Times New Roman" w:cs="Times New Roman"/>
          <w:vertAlign w:val="superscript"/>
        </w:rPr>
      </w:pPr>
      <w:r w:rsidRPr="002C5B21">
        <w:rPr>
          <w:rFonts w:ascii="Times New Roman" w:hAnsi="Times New Roman" w:cs="Times New Roman"/>
        </w:rPr>
        <w:t>Firdevs Melis Cin</w:t>
      </w:r>
      <w:r w:rsidRPr="002C5B21">
        <w:rPr>
          <w:rFonts w:ascii="Times New Roman" w:hAnsi="Times New Roman" w:cs="Times New Roman"/>
          <w:vertAlign w:val="superscript"/>
        </w:rPr>
        <w:t>a*</w:t>
      </w:r>
      <w:r w:rsidRPr="002C5B21">
        <w:rPr>
          <w:rFonts w:ascii="Times New Roman" w:hAnsi="Times New Roman" w:cs="Times New Roman"/>
        </w:rPr>
        <w:t>, Ecem Karlıdağ-Dennis</w:t>
      </w:r>
      <w:r w:rsidRPr="002C5B21">
        <w:rPr>
          <w:rFonts w:ascii="Times New Roman" w:hAnsi="Times New Roman" w:cs="Times New Roman"/>
          <w:vertAlign w:val="superscript"/>
        </w:rPr>
        <w:t>b</w:t>
      </w:r>
      <w:r w:rsidRPr="002C5B21">
        <w:rPr>
          <w:rFonts w:ascii="Times New Roman" w:hAnsi="Times New Roman" w:cs="Times New Roman"/>
        </w:rPr>
        <w:t xml:space="preserve"> Zeynep Temiz</w:t>
      </w:r>
      <w:r w:rsidRPr="002C5B21">
        <w:rPr>
          <w:rFonts w:ascii="Times New Roman" w:hAnsi="Times New Roman" w:cs="Times New Roman"/>
          <w:vertAlign w:val="superscript"/>
        </w:rPr>
        <w:t>c</w:t>
      </w:r>
    </w:p>
    <w:p w14:paraId="3B16EF2D" w14:textId="77777777" w:rsidR="00612637" w:rsidRPr="002C5B21" w:rsidRDefault="00612637" w:rsidP="00612637">
      <w:pPr>
        <w:spacing w:after="0" w:line="240" w:lineRule="auto"/>
        <w:jc w:val="center"/>
        <w:rPr>
          <w:rFonts w:ascii="Times New Roman" w:hAnsi="Times New Roman" w:cs="Times New Roman"/>
          <w:vertAlign w:val="superscript"/>
        </w:rPr>
      </w:pPr>
    </w:p>
    <w:p w14:paraId="79E2748D" w14:textId="77777777" w:rsidR="00612637" w:rsidRPr="002C5B21" w:rsidRDefault="00612637" w:rsidP="00612637">
      <w:pPr>
        <w:spacing w:after="0" w:line="240" w:lineRule="auto"/>
        <w:jc w:val="center"/>
        <w:rPr>
          <w:rFonts w:ascii="Times New Roman" w:hAnsi="Times New Roman" w:cs="Times New Roman"/>
          <w:vertAlign w:val="superscript"/>
        </w:rPr>
      </w:pPr>
    </w:p>
    <w:p w14:paraId="7F9E31F1"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vertAlign w:val="superscript"/>
        </w:rPr>
        <w:t>a*</w:t>
      </w:r>
      <w:r w:rsidRPr="002C5B21">
        <w:rPr>
          <w:rFonts w:ascii="Times New Roman" w:hAnsi="Times New Roman" w:cs="Times New Roman"/>
        </w:rPr>
        <w:t>Lancaster University, Department of Educational Research, UK</w:t>
      </w:r>
    </w:p>
    <w:p w14:paraId="72EED9F7"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rPr>
        <w:t>Educational Research County South Lancaster University Lancaster United Kingdom LA1 4YD</w:t>
      </w:r>
    </w:p>
    <w:p w14:paraId="502CDCD4"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rPr>
        <w:t xml:space="preserve">Email: </w:t>
      </w:r>
      <w:hyperlink r:id="rId8" w:history="1">
        <w:r w:rsidRPr="002C5B21">
          <w:rPr>
            <w:rStyle w:val="Hyperlink"/>
            <w:rFonts w:ascii="Times New Roman" w:hAnsi="Times New Roman" w:cs="Times New Roman"/>
          </w:rPr>
          <w:t>m.cin@lancaster.ac.uk</w:t>
        </w:r>
      </w:hyperlink>
    </w:p>
    <w:p w14:paraId="642093D8" w14:textId="77777777" w:rsidR="00612637" w:rsidRPr="002C5B21" w:rsidRDefault="00612637" w:rsidP="00612637">
      <w:pPr>
        <w:pStyle w:val="ListParagraph"/>
        <w:spacing w:after="0" w:line="240" w:lineRule="auto"/>
        <w:rPr>
          <w:rFonts w:ascii="Times New Roman" w:hAnsi="Times New Roman" w:cs="Times New Roman"/>
        </w:rPr>
      </w:pPr>
      <w:r w:rsidRPr="002C5B21">
        <w:rPr>
          <w:rFonts w:ascii="Times New Roman" w:hAnsi="Times New Roman" w:cs="Times New Roman"/>
        </w:rPr>
        <w:t>*Corresponding Author</w:t>
      </w:r>
    </w:p>
    <w:p w14:paraId="50D4B5B6" w14:textId="77777777" w:rsidR="00612637" w:rsidRPr="002C5B21" w:rsidRDefault="00612637" w:rsidP="00612637">
      <w:pPr>
        <w:spacing w:after="0" w:line="240" w:lineRule="auto"/>
        <w:jc w:val="center"/>
        <w:rPr>
          <w:rFonts w:ascii="Times New Roman" w:hAnsi="Times New Roman" w:cs="Times New Roman"/>
        </w:rPr>
      </w:pPr>
    </w:p>
    <w:p w14:paraId="0B4BE4B5" w14:textId="77777777" w:rsidR="00612637" w:rsidRPr="002C5B21" w:rsidRDefault="00612637" w:rsidP="00612637">
      <w:pPr>
        <w:spacing w:after="0" w:line="240" w:lineRule="auto"/>
        <w:jc w:val="center"/>
        <w:rPr>
          <w:rFonts w:ascii="Times New Roman" w:hAnsi="Times New Roman" w:cs="Times New Roman"/>
        </w:rPr>
      </w:pPr>
    </w:p>
    <w:p w14:paraId="7991A235"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vertAlign w:val="superscript"/>
        </w:rPr>
        <w:t xml:space="preserve">b </w:t>
      </w:r>
      <w:r w:rsidRPr="002C5B21">
        <w:rPr>
          <w:rFonts w:ascii="Times New Roman" w:hAnsi="Times New Roman" w:cs="Times New Roman"/>
        </w:rPr>
        <w:t>The University of Northampton University, Institute for Social Innovation and Impact, UK</w:t>
      </w:r>
    </w:p>
    <w:p w14:paraId="6308BCC5"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rPr>
        <w:t>Park Campus</w:t>
      </w:r>
      <w:r w:rsidRPr="002C5B21">
        <w:rPr>
          <w:rFonts w:ascii="Times New Roman" w:hAnsi="Times New Roman" w:cs="Times New Roman"/>
        </w:rPr>
        <w:br/>
        <w:t>Boughton Green Road</w:t>
      </w:r>
      <w:r w:rsidRPr="002C5B21">
        <w:rPr>
          <w:rFonts w:ascii="Times New Roman" w:hAnsi="Times New Roman" w:cs="Times New Roman"/>
        </w:rPr>
        <w:br/>
        <w:t>Northampton</w:t>
      </w:r>
      <w:r w:rsidRPr="002C5B21">
        <w:rPr>
          <w:rFonts w:ascii="Times New Roman" w:hAnsi="Times New Roman" w:cs="Times New Roman"/>
        </w:rPr>
        <w:br/>
        <w:t>NN2 7AL</w:t>
      </w:r>
    </w:p>
    <w:p w14:paraId="613EB299"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rPr>
        <w:t>Email: Ecem.Karlidag-Dennis@northampton.ac.uk</w:t>
      </w:r>
    </w:p>
    <w:p w14:paraId="3D567A0A" w14:textId="77777777" w:rsidR="00612637" w:rsidRPr="002C5B21" w:rsidRDefault="00612637" w:rsidP="00612637">
      <w:pPr>
        <w:spacing w:after="0" w:line="240" w:lineRule="auto"/>
        <w:jc w:val="center"/>
        <w:rPr>
          <w:rFonts w:ascii="Times New Roman" w:hAnsi="Times New Roman" w:cs="Times New Roman"/>
        </w:rPr>
      </w:pPr>
    </w:p>
    <w:p w14:paraId="39949F09" w14:textId="77777777" w:rsidR="00612637" w:rsidRPr="002C5B21" w:rsidRDefault="00612637" w:rsidP="00612637">
      <w:pPr>
        <w:spacing w:after="0" w:line="240" w:lineRule="auto"/>
        <w:jc w:val="center"/>
        <w:rPr>
          <w:rFonts w:ascii="Times New Roman" w:hAnsi="Times New Roman" w:cs="Times New Roman"/>
        </w:rPr>
      </w:pPr>
      <w:r w:rsidRPr="002C5B21">
        <w:rPr>
          <w:rFonts w:ascii="Times New Roman" w:hAnsi="Times New Roman" w:cs="Times New Roman"/>
          <w:vertAlign w:val="superscript"/>
        </w:rPr>
        <w:t xml:space="preserve">c </w:t>
      </w:r>
      <w:r w:rsidRPr="002C5B21">
        <w:rPr>
          <w:rFonts w:ascii="Times New Roman" w:hAnsi="Times New Roman" w:cs="Times New Roman"/>
        </w:rPr>
        <w:t>Yüzüncü Yıl Üniversitesi, Department of Early Childhood Education, Van, Turkey</w:t>
      </w:r>
    </w:p>
    <w:p w14:paraId="15A5E81A" w14:textId="77777777" w:rsidR="00612637" w:rsidRPr="002C5B21" w:rsidRDefault="00612637" w:rsidP="00612637">
      <w:pPr>
        <w:spacing w:after="0" w:line="240" w:lineRule="auto"/>
        <w:jc w:val="center"/>
        <w:rPr>
          <w:rStyle w:val="lrzxr"/>
          <w:rFonts w:ascii="Times New Roman" w:hAnsi="Times New Roman" w:cs="Times New Roman"/>
        </w:rPr>
      </w:pPr>
      <w:r w:rsidRPr="002C5B21">
        <w:rPr>
          <w:rStyle w:val="lrzxr"/>
          <w:rFonts w:ascii="Times New Roman" w:hAnsi="Times New Roman" w:cs="Times New Roman"/>
        </w:rPr>
        <w:t>Bardakçı Mahallesi, Yüzüncü Yıl Üniversitesi Kampüsü, 65090 Tuşba/Van, Turkey</w:t>
      </w:r>
    </w:p>
    <w:p w14:paraId="18C5DA08" w14:textId="77777777" w:rsidR="00612637" w:rsidRPr="002C5B21" w:rsidRDefault="00612637" w:rsidP="00612637">
      <w:pPr>
        <w:tabs>
          <w:tab w:val="center" w:pos="4536"/>
          <w:tab w:val="left" w:pos="6000"/>
        </w:tabs>
        <w:spacing w:after="0" w:line="240" w:lineRule="auto"/>
        <w:rPr>
          <w:rFonts w:ascii="Times New Roman" w:hAnsi="Times New Roman" w:cs="Times New Roman"/>
        </w:rPr>
      </w:pPr>
      <w:r w:rsidRPr="002C5B21">
        <w:rPr>
          <w:rStyle w:val="lrzxr"/>
          <w:rFonts w:ascii="Times New Roman" w:hAnsi="Times New Roman" w:cs="Times New Roman"/>
        </w:rPr>
        <w:tab/>
        <w:t>e-mail: cimenzeynepakdag@gmail.com</w:t>
      </w:r>
    </w:p>
    <w:p w14:paraId="794A1B4D" w14:textId="77777777" w:rsidR="00612637" w:rsidRPr="002C5B21" w:rsidRDefault="00612637" w:rsidP="00612637">
      <w:pPr>
        <w:spacing w:after="0" w:line="240" w:lineRule="auto"/>
        <w:jc w:val="center"/>
        <w:rPr>
          <w:rFonts w:ascii="Times New Roman" w:hAnsi="Times New Roman" w:cs="Times New Roman"/>
        </w:rPr>
      </w:pPr>
    </w:p>
    <w:p w14:paraId="2B06543B" w14:textId="77777777" w:rsidR="00612637" w:rsidRPr="002C5B21" w:rsidRDefault="00612637" w:rsidP="00612637">
      <w:pPr>
        <w:spacing w:after="0" w:line="240" w:lineRule="auto"/>
        <w:jc w:val="center"/>
        <w:rPr>
          <w:rFonts w:ascii="Times New Roman" w:hAnsi="Times New Roman" w:cs="Times New Roman"/>
        </w:rPr>
      </w:pPr>
    </w:p>
    <w:p w14:paraId="2CDA2DA2" w14:textId="77777777" w:rsidR="00612637" w:rsidRPr="002C5B21" w:rsidRDefault="00612637" w:rsidP="00612637">
      <w:pPr>
        <w:spacing w:after="0" w:line="240" w:lineRule="auto"/>
        <w:jc w:val="center"/>
        <w:rPr>
          <w:rFonts w:ascii="Times New Roman" w:hAnsi="Times New Roman" w:cs="Times New Roman"/>
        </w:rPr>
      </w:pPr>
    </w:p>
    <w:p w14:paraId="49155D4B" w14:textId="77777777" w:rsidR="00612637" w:rsidRPr="002C5B21" w:rsidRDefault="00612637" w:rsidP="00612637">
      <w:pPr>
        <w:rPr>
          <w:rFonts w:ascii="Times New Roman" w:hAnsi="Times New Roman" w:cs="Times New Roman"/>
        </w:rPr>
      </w:pPr>
    </w:p>
    <w:p w14:paraId="0CCA1D03" w14:textId="083D78F9" w:rsidR="00612637" w:rsidRDefault="00612637" w:rsidP="00BF1E10">
      <w:pPr>
        <w:pStyle w:val="Heading1"/>
        <w:spacing w:line="360" w:lineRule="auto"/>
        <w:rPr>
          <w:rStyle w:val="fontbold"/>
          <w:rFonts w:ascii="Times New Roman" w:hAnsi="Times New Roman" w:cs="Times New Roman"/>
          <w:b/>
          <w:color w:val="auto"/>
          <w:sz w:val="22"/>
          <w:szCs w:val="22"/>
        </w:rPr>
      </w:pPr>
    </w:p>
    <w:p w14:paraId="39568F32" w14:textId="2800BCCD" w:rsidR="00612637" w:rsidRDefault="00612637" w:rsidP="00612637"/>
    <w:p w14:paraId="3F57C117" w14:textId="2CDF94F6" w:rsidR="00612637" w:rsidRDefault="00612637" w:rsidP="00612637"/>
    <w:p w14:paraId="18627A4F" w14:textId="7D384AC6" w:rsidR="00612637" w:rsidRDefault="00612637" w:rsidP="00612637"/>
    <w:p w14:paraId="7399781A" w14:textId="7ABFB341" w:rsidR="00612637" w:rsidRDefault="00612637" w:rsidP="00612637"/>
    <w:p w14:paraId="274CB3A9" w14:textId="1FD197C8" w:rsidR="00612637" w:rsidRDefault="00612637" w:rsidP="00612637"/>
    <w:p w14:paraId="46B88841" w14:textId="57CDBD52" w:rsidR="00612637" w:rsidRDefault="00612637" w:rsidP="00612637"/>
    <w:p w14:paraId="0AE4D0AE" w14:textId="090BBE8F" w:rsidR="00612637" w:rsidRDefault="00612637" w:rsidP="00612637"/>
    <w:p w14:paraId="229A2D7F" w14:textId="1255A371" w:rsidR="00612637" w:rsidRDefault="00612637" w:rsidP="00612637"/>
    <w:p w14:paraId="7A6BF446" w14:textId="4BFE5678" w:rsidR="00612637" w:rsidRDefault="00612637" w:rsidP="00612637"/>
    <w:p w14:paraId="7748148E" w14:textId="26FF9232" w:rsidR="00612637" w:rsidRDefault="00612637" w:rsidP="00612637"/>
    <w:p w14:paraId="35984D53" w14:textId="7E518ECF" w:rsidR="00612637" w:rsidRDefault="00612637" w:rsidP="00612637"/>
    <w:p w14:paraId="19E0A7D8" w14:textId="754ACEE3" w:rsidR="00612637" w:rsidRDefault="00612637" w:rsidP="00612637"/>
    <w:p w14:paraId="51EFC550" w14:textId="4B035E70" w:rsidR="00612637" w:rsidRDefault="00612637" w:rsidP="00612637"/>
    <w:p w14:paraId="5B4ABF89" w14:textId="77777777" w:rsidR="00612637" w:rsidRPr="00612637" w:rsidRDefault="00612637" w:rsidP="00612637"/>
    <w:p w14:paraId="0A3393A9" w14:textId="7EAEA3AD" w:rsidR="0007419E" w:rsidRPr="0068442A" w:rsidRDefault="00651919" w:rsidP="00BF1E10">
      <w:pPr>
        <w:pStyle w:val="Heading1"/>
        <w:spacing w:line="360" w:lineRule="auto"/>
        <w:rPr>
          <w:rStyle w:val="fontbold"/>
          <w:rFonts w:ascii="Times New Roman" w:hAnsi="Times New Roman" w:cs="Times New Roman"/>
          <w:b/>
          <w:color w:val="auto"/>
          <w:sz w:val="22"/>
          <w:szCs w:val="22"/>
        </w:rPr>
      </w:pPr>
      <w:r w:rsidRPr="0068442A">
        <w:rPr>
          <w:rStyle w:val="fontbold"/>
          <w:rFonts w:ascii="Times New Roman" w:hAnsi="Times New Roman" w:cs="Times New Roman"/>
          <w:b/>
          <w:color w:val="auto"/>
          <w:sz w:val="22"/>
          <w:szCs w:val="22"/>
        </w:rPr>
        <w:lastRenderedPageBreak/>
        <w:t>Capabilities-based Gender Equality Analysis of Educational Policy-</w:t>
      </w:r>
      <w:r w:rsidR="0068442A">
        <w:rPr>
          <w:rStyle w:val="fontbold"/>
          <w:rFonts w:ascii="Times New Roman" w:hAnsi="Times New Roman" w:cs="Times New Roman"/>
          <w:b/>
          <w:color w:val="auto"/>
          <w:sz w:val="22"/>
          <w:szCs w:val="22"/>
        </w:rPr>
        <w:t>m</w:t>
      </w:r>
      <w:r w:rsidRPr="0068442A">
        <w:rPr>
          <w:rStyle w:val="fontbold"/>
          <w:rFonts w:ascii="Times New Roman" w:hAnsi="Times New Roman" w:cs="Times New Roman"/>
          <w:b/>
          <w:color w:val="auto"/>
          <w:sz w:val="22"/>
          <w:szCs w:val="22"/>
        </w:rPr>
        <w:t>aking and Reform in Turkey</w:t>
      </w:r>
    </w:p>
    <w:p w14:paraId="35EE9454" w14:textId="77777777" w:rsidR="00651919" w:rsidRPr="0068442A" w:rsidRDefault="00651919" w:rsidP="00BF1E10">
      <w:pPr>
        <w:spacing w:line="360" w:lineRule="auto"/>
        <w:rPr>
          <w:rFonts w:ascii="Times New Roman" w:hAnsi="Times New Roman" w:cs="Times New Roman"/>
        </w:rPr>
      </w:pPr>
    </w:p>
    <w:p w14:paraId="09C7FDC7" w14:textId="3D103C9C" w:rsidR="00BF1E10" w:rsidRPr="0068442A" w:rsidRDefault="00BF1E10" w:rsidP="00636ACD">
      <w:pPr>
        <w:spacing w:line="360" w:lineRule="auto"/>
        <w:ind w:left="425" w:right="850"/>
        <w:jc w:val="both"/>
        <w:rPr>
          <w:rStyle w:val="m-1396763096353389408gmail-fontbold"/>
          <w:rFonts w:ascii="Times New Roman" w:hAnsi="Times New Roman" w:cs="Times New Roman"/>
        </w:rPr>
      </w:pPr>
      <w:r w:rsidRPr="0068442A">
        <w:rPr>
          <w:rFonts w:ascii="Times New Roman" w:hAnsi="Times New Roman" w:cs="Times New Roman"/>
          <w:color w:val="231F20"/>
        </w:rPr>
        <w:t>This research aims to scrutini</w:t>
      </w:r>
      <w:r w:rsidR="0050617E" w:rsidRPr="0068442A">
        <w:rPr>
          <w:rFonts w:ascii="Times New Roman" w:hAnsi="Times New Roman" w:cs="Times New Roman"/>
          <w:color w:val="231F20"/>
        </w:rPr>
        <w:t>s</w:t>
      </w:r>
      <w:r w:rsidRPr="0068442A">
        <w:rPr>
          <w:rFonts w:ascii="Times New Roman" w:hAnsi="Times New Roman" w:cs="Times New Roman"/>
          <w:color w:val="231F20"/>
        </w:rPr>
        <w:t>e the latest education reform a</w:t>
      </w:r>
      <w:r w:rsidR="00D12F2F" w:rsidRPr="0068442A">
        <w:rPr>
          <w:rFonts w:ascii="Times New Roman" w:hAnsi="Times New Roman" w:cs="Times New Roman"/>
          <w:color w:val="231F20"/>
        </w:rPr>
        <w:t xml:space="preserve">nd education policies in Turkey from a </w:t>
      </w:r>
      <w:r w:rsidRPr="0068442A">
        <w:rPr>
          <w:rFonts w:ascii="Times New Roman" w:hAnsi="Times New Roman" w:cs="Times New Roman"/>
        </w:rPr>
        <w:t>capabilities-ba</w:t>
      </w:r>
      <w:r w:rsidR="00D12F2F" w:rsidRPr="0068442A">
        <w:rPr>
          <w:rFonts w:ascii="Times New Roman" w:hAnsi="Times New Roman" w:cs="Times New Roman"/>
        </w:rPr>
        <w:t>sed gender equality perspective. The data draws on interviews with</w:t>
      </w:r>
      <w:r w:rsidRPr="0068442A">
        <w:rPr>
          <w:rFonts w:ascii="Times New Roman" w:hAnsi="Times New Roman" w:cs="Times New Roman"/>
        </w:rPr>
        <w:t xml:space="preserve"> stakeholders and practitioners to understand how gender equality is conceptuali</w:t>
      </w:r>
      <w:r w:rsidR="0050617E" w:rsidRPr="0068442A">
        <w:rPr>
          <w:rFonts w:ascii="Times New Roman" w:hAnsi="Times New Roman" w:cs="Times New Roman"/>
        </w:rPr>
        <w:t>s</w:t>
      </w:r>
      <w:r w:rsidRPr="0068442A">
        <w:rPr>
          <w:rFonts w:ascii="Times New Roman" w:hAnsi="Times New Roman" w:cs="Times New Roman"/>
        </w:rPr>
        <w:t xml:space="preserve">ed in policy-making and to what extent reforms have fostered gender equality in girls’ education. </w:t>
      </w:r>
      <w:r w:rsidR="00D12F2F" w:rsidRPr="0068442A">
        <w:rPr>
          <w:rStyle w:val="m-1396763096353389408gmail-fontbold"/>
          <w:rFonts w:ascii="Times New Roman" w:hAnsi="Times New Roman" w:cs="Times New Roman"/>
        </w:rPr>
        <w:t>From a policy-making perspective, the data</w:t>
      </w:r>
      <w:r w:rsidRPr="0068442A">
        <w:rPr>
          <w:rStyle w:val="m-1396763096353389408gmail-fontbold"/>
          <w:rFonts w:ascii="Times New Roman" w:hAnsi="Times New Roman" w:cs="Times New Roman"/>
        </w:rPr>
        <w:t xml:space="preserve"> show</w:t>
      </w:r>
      <w:r w:rsidR="00D12F2F" w:rsidRPr="0068442A">
        <w:rPr>
          <w:rStyle w:val="m-1396763096353389408gmail-fontbold"/>
          <w:rFonts w:ascii="Times New Roman" w:hAnsi="Times New Roman" w:cs="Times New Roman"/>
        </w:rPr>
        <w:t>s</w:t>
      </w:r>
      <w:r w:rsidRPr="0068442A">
        <w:rPr>
          <w:rStyle w:val="m-1396763096353389408gmail-fontbold"/>
          <w:rFonts w:ascii="Times New Roman" w:hAnsi="Times New Roman" w:cs="Times New Roman"/>
        </w:rPr>
        <w:t xml:space="preserve"> that reform has been successful in </w:t>
      </w:r>
      <w:r w:rsidR="00636ACD" w:rsidRPr="0068442A">
        <w:rPr>
          <w:rStyle w:val="m-1396763096353389408gmail-fontbold"/>
          <w:rFonts w:ascii="Times New Roman" w:hAnsi="Times New Roman" w:cs="Times New Roman"/>
        </w:rPr>
        <w:t>terms of</w:t>
      </w:r>
      <w:r w:rsidR="00636ACD" w:rsidRPr="0068442A">
        <w:rPr>
          <w:rFonts w:ascii="Times New Roman" w:hAnsi="Times New Roman" w:cs="Times New Roman"/>
        </w:rPr>
        <w:t xml:space="preserve"> </w:t>
      </w:r>
      <w:r w:rsidR="00853473" w:rsidRPr="0068442A">
        <w:rPr>
          <w:rFonts w:ascii="Times New Roman" w:hAnsi="Times New Roman" w:cs="Times New Roman"/>
        </w:rPr>
        <w:t xml:space="preserve">a </w:t>
      </w:r>
      <w:r w:rsidR="00636ACD" w:rsidRPr="0068442A">
        <w:rPr>
          <w:rFonts w:ascii="Times New Roman" w:hAnsi="Times New Roman" w:cs="Times New Roman"/>
        </w:rPr>
        <w:t>tangible, measurable outcome of</w:t>
      </w:r>
      <w:r w:rsidR="00853473" w:rsidRPr="0068442A">
        <w:rPr>
          <w:rFonts w:ascii="Times New Roman" w:hAnsi="Times New Roman" w:cs="Times New Roman"/>
        </w:rPr>
        <w:t xml:space="preserve"> an</w:t>
      </w:r>
      <w:r w:rsidR="00636ACD" w:rsidRPr="0068442A">
        <w:rPr>
          <w:rFonts w:ascii="Times New Roman" w:hAnsi="Times New Roman" w:cs="Times New Roman"/>
        </w:rPr>
        <w:t xml:space="preserve"> </w:t>
      </w:r>
      <w:r w:rsidRPr="0068442A">
        <w:rPr>
          <w:rStyle w:val="m-1396763096353389408gmail-fontbold"/>
          <w:rFonts w:ascii="Times New Roman" w:hAnsi="Times New Roman" w:cs="Times New Roman"/>
        </w:rPr>
        <w:t>increase in enrolment rates</w:t>
      </w:r>
      <w:r w:rsidR="00415DFA">
        <w:rPr>
          <w:rStyle w:val="m-1396763096353389408gmail-fontbold"/>
          <w:rFonts w:ascii="Times New Roman" w:hAnsi="Times New Roman" w:cs="Times New Roman"/>
        </w:rPr>
        <w:t>. This can be attributed to</w:t>
      </w:r>
      <w:r w:rsidRPr="0068442A">
        <w:rPr>
          <w:rStyle w:val="m-1396763096353389408gmail-fontbold"/>
          <w:rFonts w:ascii="Times New Roman" w:hAnsi="Times New Roman" w:cs="Times New Roman"/>
        </w:rPr>
        <w:t xml:space="preserve"> </w:t>
      </w:r>
      <w:r w:rsidR="00415DFA">
        <w:rPr>
          <w:rStyle w:val="m-1396763096353389408gmail-fontbold"/>
          <w:rFonts w:ascii="Times New Roman" w:hAnsi="Times New Roman" w:cs="Times New Roman"/>
        </w:rPr>
        <w:t xml:space="preserve">a </w:t>
      </w:r>
      <w:r w:rsidRPr="0068442A">
        <w:rPr>
          <w:rStyle w:val="m-1396763096353389408gmail-fontbold"/>
          <w:rFonts w:ascii="Times New Roman" w:hAnsi="Times New Roman" w:cs="Times New Roman"/>
        </w:rPr>
        <w:t>boost</w:t>
      </w:r>
      <w:r w:rsidR="00415DFA">
        <w:rPr>
          <w:rStyle w:val="m-1396763096353389408gmail-fontbold"/>
          <w:rFonts w:ascii="Times New Roman" w:hAnsi="Times New Roman" w:cs="Times New Roman"/>
        </w:rPr>
        <w:t xml:space="preserve"> in</w:t>
      </w:r>
      <w:r w:rsidRPr="0068442A">
        <w:rPr>
          <w:rStyle w:val="m-1396763096353389408gmail-fontbold"/>
          <w:rFonts w:ascii="Times New Roman" w:hAnsi="Times New Roman" w:cs="Times New Roman"/>
        </w:rPr>
        <w:t xml:space="preserve"> the number of religious schools and </w:t>
      </w:r>
      <w:r w:rsidR="00415DFA">
        <w:rPr>
          <w:rStyle w:val="m-1396763096353389408gmail-fontbold"/>
          <w:rFonts w:ascii="Times New Roman" w:hAnsi="Times New Roman" w:cs="Times New Roman"/>
        </w:rPr>
        <w:t xml:space="preserve">the </w:t>
      </w:r>
      <w:r w:rsidR="00415DFA" w:rsidRPr="0068442A">
        <w:rPr>
          <w:rStyle w:val="m-1396763096353389408gmail-fontbold"/>
          <w:rFonts w:ascii="Times New Roman" w:hAnsi="Times New Roman" w:cs="Times New Roman"/>
        </w:rPr>
        <w:t>introduc</w:t>
      </w:r>
      <w:r w:rsidR="00415DFA">
        <w:rPr>
          <w:rStyle w:val="m-1396763096353389408gmail-fontbold"/>
          <w:rFonts w:ascii="Times New Roman" w:hAnsi="Times New Roman" w:cs="Times New Roman"/>
        </w:rPr>
        <w:t>tion of</w:t>
      </w:r>
      <w:r w:rsidR="00415DFA" w:rsidRPr="0068442A">
        <w:rPr>
          <w:rStyle w:val="m-1396763096353389408gmail-fontbold"/>
          <w:rFonts w:ascii="Times New Roman" w:hAnsi="Times New Roman" w:cs="Times New Roman"/>
        </w:rPr>
        <w:t xml:space="preserve"> </w:t>
      </w:r>
      <w:r w:rsidRPr="0068442A">
        <w:rPr>
          <w:rStyle w:val="m-1396763096353389408gmail-fontbold"/>
          <w:rFonts w:ascii="Times New Roman" w:hAnsi="Times New Roman" w:cs="Times New Roman"/>
        </w:rPr>
        <w:t>single-sex education</w:t>
      </w:r>
      <w:r w:rsidR="009A6AE8" w:rsidRPr="0068442A">
        <w:rPr>
          <w:rStyle w:val="m-1396763096353389408gmail-fontbold"/>
          <w:rFonts w:ascii="Times New Roman" w:hAnsi="Times New Roman" w:cs="Times New Roman"/>
        </w:rPr>
        <w:t xml:space="preserve"> </w:t>
      </w:r>
      <w:r w:rsidR="00A13F9B">
        <w:rPr>
          <w:rStyle w:val="m-1396763096353389408gmail-fontbold"/>
          <w:rFonts w:ascii="Times New Roman" w:hAnsi="Times New Roman" w:cs="Times New Roman"/>
        </w:rPr>
        <w:t>featuring</w:t>
      </w:r>
      <w:r w:rsidR="00A13F9B" w:rsidRPr="0068442A">
        <w:rPr>
          <w:rStyle w:val="m-1396763096353389408gmail-fontbold"/>
          <w:rFonts w:ascii="Times New Roman" w:hAnsi="Times New Roman" w:cs="Times New Roman"/>
        </w:rPr>
        <w:t xml:space="preserve"> </w:t>
      </w:r>
      <w:r w:rsidRPr="0068442A">
        <w:rPr>
          <w:rStyle w:val="m-1396763096353389408gmail-fontbold"/>
          <w:rFonts w:ascii="Times New Roman" w:hAnsi="Times New Roman" w:cs="Times New Roman"/>
        </w:rPr>
        <w:t xml:space="preserve">a limited </w:t>
      </w:r>
      <w:r w:rsidR="00636ACD" w:rsidRPr="0068442A">
        <w:rPr>
          <w:rStyle w:val="m-1396763096353389408gmail-fontbold"/>
          <w:rFonts w:ascii="Times New Roman" w:hAnsi="Times New Roman" w:cs="Times New Roman"/>
        </w:rPr>
        <w:t xml:space="preserve">conceptual </w:t>
      </w:r>
      <w:r w:rsidRPr="0068442A">
        <w:rPr>
          <w:rStyle w:val="m-1396763096353389408gmail-fontbold"/>
          <w:rFonts w:ascii="Times New Roman" w:hAnsi="Times New Roman" w:cs="Times New Roman"/>
        </w:rPr>
        <w:t>un</w:t>
      </w:r>
      <w:r w:rsidR="00067D96" w:rsidRPr="0068442A">
        <w:rPr>
          <w:rStyle w:val="m-1396763096353389408gmail-fontbold"/>
          <w:rFonts w:ascii="Times New Roman" w:hAnsi="Times New Roman" w:cs="Times New Roman"/>
        </w:rPr>
        <w:t>derstanding of gender equality</w:t>
      </w:r>
      <w:r w:rsidR="00A13F9B">
        <w:rPr>
          <w:rStyle w:val="m-1396763096353389408gmail-fontbold"/>
          <w:rFonts w:ascii="Times New Roman" w:hAnsi="Times New Roman" w:cs="Times New Roman"/>
        </w:rPr>
        <w:t xml:space="preserve">, with </w:t>
      </w:r>
      <w:r w:rsidR="00704924" w:rsidRPr="0068442A">
        <w:rPr>
          <w:rStyle w:val="m-1396763096353389408gmail-fontbold"/>
          <w:rFonts w:ascii="Times New Roman" w:hAnsi="Times New Roman" w:cs="Times New Roman"/>
        </w:rPr>
        <w:t xml:space="preserve">a </w:t>
      </w:r>
      <w:r w:rsidR="006F2276" w:rsidRPr="0068442A">
        <w:rPr>
          <w:rStyle w:val="m-1396763096353389408gmail-fontbold"/>
          <w:rFonts w:ascii="Times New Roman" w:hAnsi="Times New Roman" w:cs="Times New Roman"/>
        </w:rPr>
        <w:t xml:space="preserve">focus on closing </w:t>
      </w:r>
      <w:r w:rsidR="00704924" w:rsidRPr="0068442A">
        <w:rPr>
          <w:rStyle w:val="m-1396763096353389408gmail-fontbold"/>
          <w:rFonts w:ascii="Times New Roman" w:hAnsi="Times New Roman" w:cs="Times New Roman"/>
        </w:rPr>
        <w:t xml:space="preserve">the </w:t>
      </w:r>
      <w:r w:rsidR="006F2276" w:rsidRPr="0068442A">
        <w:rPr>
          <w:rStyle w:val="m-1396763096353389408gmail-fontbold"/>
          <w:rFonts w:ascii="Times New Roman" w:hAnsi="Times New Roman" w:cs="Times New Roman"/>
        </w:rPr>
        <w:t>gender gap</w:t>
      </w:r>
      <w:r w:rsidR="00A13F9B">
        <w:rPr>
          <w:rStyle w:val="m-1396763096353389408gmail-fontbold"/>
          <w:rFonts w:ascii="Times New Roman" w:hAnsi="Times New Roman" w:cs="Times New Roman"/>
        </w:rPr>
        <w:t>.</w:t>
      </w:r>
      <w:r w:rsidR="006F2276" w:rsidRPr="0068442A">
        <w:rPr>
          <w:rStyle w:val="m-1396763096353389408gmail-fontbold"/>
          <w:rFonts w:ascii="Times New Roman" w:hAnsi="Times New Roman" w:cs="Times New Roman"/>
        </w:rPr>
        <w:t xml:space="preserve"> </w:t>
      </w:r>
      <w:r w:rsidR="00A13F9B">
        <w:rPr>
          <w:rStyle w:val="m-1396763096353389408gmail-fontbold"/>
          <w:rFonts w:ascii="Times New Roman" w:hAnsi="Times New Roman" w:cs="Times New Roman"/>
        </w:rPr>
        <w:t>However</w:t>
      </w:r>
      <w:r w:rsidR="00704924" w:rsidRPr="0068442A">
        <w:rPr>
          <w:rStyle w:val="m-1396763096353389408gmail-fontbold"/>
          <w:rFonts w:ascii="Times New Roman" w:hAnsi="Times New Roman" w:cs="Times New Roman"/>
        </w:rPr>
        <w:t>,</w:t>
      </w:r>
      <w:r w:rsidR="00067D96" w:rsidRPr="0068442A">
        <w:rPr>
          <w:rStyle w:val="m-1396763096353389408gmail-fontbold"/>
          <w:rFonts w:ascii="Times New Roman" w:hAnsi="Times New Roman" w:cs="Times New Roman"/>
        </w:rPr>
        <w:t xml:space="preserve"> from </w:t>
      </w:r>
      <w:r w:rsidR="00704924" w:rsidRPr="0068442A">
        <w:rPr>
          <w:rStyle w:val="m-1396763096353389408gmail-fontbold"/>
          <w:rFonts w:ascii="Times New Roman" w:hAnsi="Times New Roman" w:cs="Times New Roman"/>
        </w:rPr>
        <w:t xml:space="preserve">the </w:t>
      </w:r>
      <w:r w:rsidR="00067D96" w:rsidRPr="0068442A">
        <w:rPr>
          <w:rStyle w:val="m-1396763096353389408gmail-fontbold"/>
          <w:rFonts w:ascii="Times New Roman" w:hAnsi="Times New Roman" w:cs="Times New Roman"/>
        </w:rPr>
        <w:t>practitioners’ perspective,</w:t>
      </w:r>
      <w:r w:rsidRPr="0068442A">
        <w:rPr>
          <w:rStyle w:val="m-1396763096353389408gmail-fontbold"/>
          <w:rFonts w:ascii="Times New Roman" w:hAnsi="Times New Roman" w:cs="Times New Roman"/>
        </w:rPr>
        <w:t xml:space="preserve"> little concern </w:t>
      </w:r>
      <w:r w:rsidR="00A13F9B">
        <w:rPr>
          <w:rStyle w:val="m-1396763096353389408gmail-fontbold"/>
          <w:rFonts w:ascii="Times New Roman" w:hAnsi="Times New Roman" w:cs="Times New Roman"/>
        </w:rPr>
        <w:t xml:space="preserve">has been given </w:t>
      </w:r>
      <w:r w:rsidRPr="0068442A">
        <w:rPr>
          <w:rStyle w:val="m-1396763096353389408gmail-fontbold"/>
          <w:rFonts w:ascii="Times New Roman" w:hAnsi="Times New Roman" w:cs="Times New Roman"/>
        </w:rPr>
        <w:t xml:space="preserve">to gender equality and </w:t>
      </w:r>
      <w:r w:rsidR="004519D5" w:rsidRPr="0068442A">
        <w:rPr>
          <w:rStyle w:val="m-1396763096353389408gmail-fontbold"/>
          <w:rFonts w:ascii="Times New Roman" w:hAnsi="Times New Roman" w:cs="Times New Roman"/>
        </w:rPr>
        <w:t>constrained</w:t>
      </w:r>
      <w:r w:rsidRPr="0068442A">
        <w:rPr>
          <w:rStyle w:val="m-1396763096353389408gmail-fontbold"/>
          <w:rFonts w:ascii="Times New Roman" w:hAnsi="Times New Roman" w:cs="Times New Roman"/>
        </w:rPr>
        <w:t xml:space="preserve"> girls’ </w:t>
      </w:r>
      <w:r w:rsidR="009A6AE8" w:rsidRPr="0068442A">
        <w:rPr>
          <w:rStyle w:val="m-1396763096353389408gmail-fontbold"/>
          <w:rFonts w:ascii="Times New Roman" w:hAnsi="Times New Roman" w:cs="Times New Roman"/>
        </w:rPr>
        <w:t xml:space="preserve">capabilities. The paper </w:t>
      </w:r>
      <w:r w:rsidR="00D12F2F" w:rsidRPr="0068442A">
        <w:rPr>
          <w:rStyle w:val="m-1396763096353389408gmail-fontbold"/>
          <w:rFonts w:ascii="Times New Roman" w:hAnsi="Times New Roman" w:cs="Times New Roman"/>
        </w:rPr>
        <w:t>fleshes out</w:t>
      </w:r>
      <w:r w:rsidR="009A6AE8" w:rsidRPr="0068442A">
        <w:rPr>
          <w:rStyle w:val="m-1396763096353389408gmail-fontbold"/>
          <w:rFonts w:ascii="Times New Roman" w:hAnsi="Times New Roman" w:cs="Times New Roman"/>
        </w:rPr>
        <w:t xml:space="preserve"> the tensions between policy-makers and practitioners</w:t>
      </w:r>
      <w:r w:rsidRPr="0068442A">
        <w:rPr>
          <w:rStyle w:val="m-1396763096353389408gmail-fontbold"/>
          <w:rFonts w:ascii="Times New Roman" w:hAnsi="Times New Roman" w:cs="Times New Roman"/>
        </w:rPr>
        <w:t xml:space="preserve"> by highlighting the need for </w:t>
      </w:r>
      <w:r w:rsidRPr="0068442A">
        <w:rPr>
          <w:rFonts w:ascii="Times New Roman" w:hAnsi="Times New Roman" w:cs="Times New Roman"/>
          <w:color w:val="231F20"/>
        </w:rPr>
        <w:t>a comprehensive</w:t>
      </w:r>
      <w:r w:rsidR="009624CD" w:rsidRPr="0068442A">
        <w:rPr>
          <w:rFonts w:ascii="Times New Roman" w:hAnsi="Times New Roman" w:cs="Times New Roman"/>
          <w:color w:val="231F20"/>
        </w:rPr>
        <w:t xml:space="preserve"> and inclusive</w:t>
      </w:r>
      <w:r w:rsidRPr="0068442A">
        <w:rPr>
          <w:rFonts w:ascii="Times New Roman" w:hAnsi="Times New Roman" w:cs="Times New Roman"/>
          <w:color w:val="231F20"/>
        </w:rPr>
        <w:t xml:space="preserve"> understanding of gender equality in educational policy-making</w:t>
      </w:r>
      <w:r w:rsidR="00636ACD" w:rsidRPr="0068442A">
        <w:rPr>
          <w:rFonts w:ascii="Times New Roman" w:hAnsi="Times New Roman" w:cs="Times New Roman"/>
          <w:color w:val="231F20"/>
        </w:rPr>
        <w:t xml:space="preserve"> and developing a capabilities-based gender equality policy</w:t>
      </w:r>
      <w:r w:rsidRPr="0068442A">
        <w:rPr>
          <w:rFonts w:ascii="Times New Roman" w:hAnsi="Times New Roman" w:cs="Times New Roman"/>
          <w:color w:val="231F20"/>
        </w:rPr>
        <w:t xml:space="preserve"> that </w:t>
      </w:r>
      <w:r w:rsidR="007A00D7">
        <w:rPr>
          <w:rFonts w:ascii="Times New Roman" w:hAnsi="Times New Roman" w:cs="Times New Roman"/>
          <w:color w:val="231F20"/>
        </w:rPr>
        <w:t>is able to</w:t>
      </w:r>
      <w:r w:rsidR="007A00D7" w:rsidRPr="0068442A">
        <w:rPr>
          <w:rFonts w:ascii="Times New Roman" w:hAnsi="Times New Roman" w:cs="Times New Roman"/>
          <w:color w:val="231F20"/>
        </w:rPr>
        <w:t xml:space="preserve"> </w:t>
      </w:r>
      <w:r w:rsidRPr="0068442A">
        <w:rPr>
          <w:rFonts w:ascii="Times New Roman" w:hAnsi="Times New Roman" w:cs="Times New Roman"/>
          <w:color w:val="231F20"/>
        </w:rPr>
        <w:t>dismantle conser</w:t>
      </w:r>
      <w:r w:rsidR="00636ACD" w:rsidRPr="0068442A">
        <w:rPr>
          <w:rFonts w:ascii="Times New Roman" w:hAnsi="Times New Roman" w:cs="Times New Roman"/>
          <w:color w:val="231F20"/>
        </w:rPr>
        <w:t>vative and</w:t>
      </w:r>
      <w:r w:rsidR="009624CD" w:rsidRPr="0068442A">
        <w:rPr>
          <w:rFonts w:ascii="Times New Roman" w:hAnsi="Times New Roman" w:cs="Times New Roman"/>
          <w:color w:val="231F20"/>
        </w:rPr>
        <w:t xml:space="preserve"> gendered structures and accommodate boys.</w:t>
      </w:r>
    </w:p>
    <w:p w14:paraId="2B6A3719" w14:textId="41D912C7" w:rsidR="00F72D5B" w:rsidRPr="0068442A" w:rsidRDefault="00F3165A" w:rsidP="00636ACD">
      <w:pPr>
        <w:spacing w:line="360" w:lineRule="auto"/>
        <w:ind w:left="425" w:right="850"/>
        <w:jc w:val="both"/>
        <w:rPr>
          <w:rStyle w:val="fontbold"/>
          <w:rFonts w:ascii="Times New Roman" w:hAnsi="Times New Roman" w:cs="Times New Roman"/>
        </w:rPr>
      </w:pPr>
      <w:r w:rsidRPr="0068442A">
        <w:rPr>
          <w:rStyle w:val="fontbold"/>
          <w:rFonts w:ascii="Times New Roman" w:hAnsi="Times New Roman" w:cs="Times New Roman"/>
          <w:b/>
        </w:rPr>
        <w:t xml:space="preserve">Key words: </w:t>
      </w:r>
      <w:r w:rsidR="008E2484" w:rsidRPr="0068442A">
        <w:rPr>
          <w:rStyle w:val="fontbold"/>
          <w:rFonts w:ascii="Times New Roman" w:hAnsi="Times New Roman" w:cs="Times New Roman"/>
        </w:rPr>
        <w:t xml:space="preserve">policy-making, </w:t>
      </w:r>
      <w:r w:rsidR="00CF1D89" w:rsidRPr="0068442A">
        <w:rPr>
          <w:rStyle w:val="fontbold"/>
          <w:rFonts w:ascii="Times New Roman" w:hAnsi="Times New Roman" w:cs="Times New Roman"/>
        </w:rPr>
        <w:t xml:space="preserve">educational </w:t>
      </w:r>
      <w:r w:rsidR="008E2484" w:rsidRPr="0068442A">
        <w:rPr>
          <w:rStyle w:val="fontbold"/>
          <w:rFonts w:ascii="Times New Roman" w:hAnsi="Times New Roman" w:cs="Times New Roman"/>
        </w:rPr>
        <w:t>reform</w:t>
      </w:r>
      <w:r w:rsidR="00FC149B" w:rsidRPr="0068442A">
        <w:rPr>
          <w:rStyle w:val="fontbold"/>
          <w:rFonts w:ascii="Times New Roman" w:hAnsi="Times New Roman" w:cs="Times New Roman"/>
        </w:rPr>
        <w:t>,</w:t>
      </w:r>
      <w:r w:rsidR="008E2484" w:rsidRPr="0068442A">
        <w:rPr>
          <w:rStyle w:val="fontbold"/>
          <w:rFonts w:ascii="Times New Roman" w:hAnsi="Times New Roman" w:cs="Times New Roman"/>
        </w:rPr>
        <w:t xml:space="preserve"> Turkey</w:t>
      </w:r>
      <w:r w:rsidR="00CF1D89" w:rsidRPr="0068442A">
        <w:rPr>
          <w:rStyle w:val="fontbold"/>
          <w:rFonts w:ascii="Times New Roman" w:hAnsi="Times New Roman" w:cs="Times New Roman"/>
        </w:rPr>
        <w:t>,</w:t>
      </w:r>
      <w:r w:rsidR="00FC149B" w:rsidRPr="0068442A">
        <w:rPr>
          <w:rStyle w:val="fontbold"/>
          <w:rFonts w:ascii="Times New Roman" w:hAnsi="Times New Roman" w:cs="Times New Roman"/>
        </w:rPr>
        <w:t xml:space="preserve"> capa</w:t>
      </w:r>
      <w:r w:rsidR="008E2484" w:rsidRPr="0068442A">
        <w:rPr>
          <w:rStyle w:val="fontbold"/>
          <w:rFonts w:ascii="Times New Roman" w:hAnsi="Times New Roman" w:cs="Times New Roman"/>
        </w:rPr>
        <w:t>bi</w:t>
      </w:r>
      <w:r w:rsidR="00636ACD" w:rsidRPr="0068442A">
        <w:rPr>
          <w:rStyle w:val="fontbold"/>
          <w:rFonts w:ascii="Times New Roman" w:hAnsi="Times New Roman" w:cs="Times New Roman"/>
        </w:rPr>
        <w:t>lity approach, gender equality</w:t>
      </w:r>
    </w:p>
    <w:p w14:paraId="5B33E7D9" w14:textId="77777777" w:rsidR="001275CC" w:rsidRPr="0068442A" w:rsidRDefault="00BF6D74" w:rsidP="00BF1E10">
      <w:pPr>
        <w:spacing w:line="360" w:lineRule="auto"/>
        <w:jc w:val="both"/>
        <w:rPr>
          <w:rStyle w:val="fontbold"/>
          <w:rFonts w:ascii="Times New Roman" w:hAnsi="Times New Roman" w:cs="Times New Roman"/>
          <w:b/>
        </w:rPr>
      </w:pPr>
      <w:r w:rsidRPr="0068442A">
        <w:rPr>
          <w:rStyle w:val="fontbold"/>
          <w:rFonts w:ascii="Times New Roman" w:hAnsi="Times New Roman" w:cs="Times New Roman"/>
          <w:b/>
        </w:rPr>
        <w:t>Introduction</w:t>
      </w:r>
    </w:p>
    <w:p w14:paraId="71524758" w14:textId="5DD4C1B4" w:rsidR="00BF6D74" w:rsidRPr="0068442A" w:rsidRDefault="00BF6D74" w:rsidP="00BF1E10">
      <w:pPr>
        <w:spacing w:line="360" w:lineRule="auto"/>
        <w:jc w:val="both"/>
        <w:rPr>
          <w:rFonts w:ascii="Times New Roman" w:hAnsi="Times New Roman" w:cs="Times New Roman"/>
        </w:rPr>
      </w:pPr>
      <w:r w:rsidRPr="0068442A">
        <w:rPr>
          <w:rFonts w:ascii="Times New Roman" w:hAnsi="Times New Roman" w:cs="Times New Roman"/>
        </w:rPr>
        <w:t xml:space="preserve">Gender </w:t>
      </w:r>
      <w:r w:rsidR="009250C2" w:rsidRPr="0068442A">
        <w:rPr>
          <w:rFonts w:ascii="Times New Roman" w:hAnsi="Times New Roman" w:cs="Times New Roman"/>
        </w:rPr>
        <w:t xml:space="preserve">is involved in </w:t>
      </w:r>
      <w:r w:rsidRPr="0068442A">
        <w:rPr>
          <w:rFonts w:ascii="Times New Roman" w:hAnsi="Times New Roman" w:cs="Times New Roman"/>
        </w:rPr>
        <w:t xml:space="preserve">a broad range of inequalities in our world, particularly in relation to education and schooling. </w:t>
      </w:r>
      <w:r w:rsidR="00D64EDF" w:rsidRPr="0068442A">
        <w:rPr>
          <w:rFonts w:ascii="Times New Roman" w:hAnsi="Times New Roman" w:cs="Times New Roman"/>
        </w:rPr>
        <w:t xml:space="preserve">Across the world, women’s illiteracy remains </w:t>
      </w:r>
      <w:r w:rsidR="003F5D0F" w:rsidRPr="0068442A">
        <w:rPr>
          <w:rFonts w:ascii="Times New Roman" w:hAnsi="Times New Roman" w:cs="Times New Roman"/>
        </w:rPr>
        <w:t>at 477 million (UIS</w:t>
      </w:r>
      <w:r w:rsidR="007D5AD1" w:rsidRPr="0068442A">
        <w:rPr>
          <w:rFonts w:ascii="Times New Roman" w:hAnsi="Times New Roman" w:cs="Times New Roman"/>
        </w:rPr>
        <w:t xml:space="preserve"> 2015)</w:t>
      </w:r>
      <w:r w:rsidR="00E3707F" w:rsidRPr="0068442A">
        <w:rPr>
          <w:rFonts w:ascii="Times New Roman" w:hAnsi="Times New Roman" w:cs="Times New Roman"/>
        </w:rPr>
        <w:t xml:space="preserve">, while </w:t>
      </w:r>
      <w:r w:rsidR="007D5AD1" w:rsidRPr="0068442A">
        <w:rPr>
          <w:rFonts w:ascii="Times New Roman" w:hAnsi="Times New Roman" w:cs="Times New Roman"/>
        </w:rPr>
        <w:t>65 million girls are</w:t>
      </w:r>
      <w:r w:rsidR="002A75BA" w:rsidRPr="0068442A">
        <w:rPr>
          <w:rFonts w:ascii="Times New Roman" w:hAnsi="Times New Roman" w:cs="Times New Roman"/>
        </w:rPr>
        <w:t xml:space="preserve"> still</w:t>
      </w:r>
      <w:r w:rsidR="007D5AD1" w:rsidRPr="0068442A">
        <w:rPr>
          <w:rFonts w:ascii="Times New Roman" w:hAnsi="Times New Roman" w:cs="Times New Roman"/>
        </w:rPr>
        <w:t xml:space="preserve"> not schooled </w:t>
      </w:r>
      <w:r w:rsidR="003F5D0F" w:rsidRPr="0068442A">
        <w:rPr>
          <w:rFonts w:ascii="Times New Roman" w:hAnsi="Times New Roman" w:cs="Times New Roman"/>
        </w:rPr>
        <w:t>(UNESCO</w:t>
      </w:r>
      <w:r w:rsidR="007D5AD1" w:rsidRPr="0068442A">
        <w:rPr>
          <w:rFonts w:ascii="Times New Roman" w:hAnsi="Times New Roman" w:cs="Times New Roman"/>
        </w:rPr>
        <w:t xml:space="preserve"> 2015)</w:t>
      </w:r>
      <w:r w:rsidRPr="0068442A">
        <w:rPr>
          <w:rFonts w:ascii="Times New Roman" w:hAnsi="Times New Roman" w:cs="Times New Roman"/>
        </w:rPr>
        <w:t xml:space="preserve">. To address these issues, </w:t>
      </w:r>
      <w:r w:rsidR="008F0569">
        <w:rPr>
          <w:rFonts w:ascii="Times New Roman" w:hAnsi="Times New Roman" w:cs="Times New Roman"/>
        </w:rPr>
        <w:t xml:space="preserve">the </w:t>
      </w:r>
      <w:r w:rsidRPr="0068442A">
        <w:rPr>
          <w:rFonts w:ascii="Times New Roman" w:hAnsi="Times New Roman" w:cs="Times New Roman"/>
        </w:rPr>
        <w:t>Sustainable Development Goals set out to eliminate gender inequalities</w:t>
      </w:r>
      <w:r w:rsidR="00971322" w:rsidRPr="0068442A">
        <w:rPr>
          <w:rFonts w:ascii="Times New Roman" w:hAnsi="Times New Roman" w:cs="Times New Roman"/>
        </w:rPr>
        <w:t>,</w:t>
      </w:r>
      <w:r w:rsidRPr="0068442A">
        <w:rPr>
          <w:rFonts w:ascii="Times New Roman" w:hAnsi="Times New Roman" w:cs="Times New Roman"/>
        </w:rPr>
        <w:t xml:space="preserve"> provide quality education and equitable access to education </w:t>
      </w:r>
      <w:r w:rsidR="007537F1" w:rsidRPr="0068442A">
        <w:rPr>
          <w:rFonts w:ascii="Times New Roman" w:hAnsi="Times New Roman" w:cs="Times New Roman"/>
        </w:rPr>
        <w:t xml:space="preserve">for </w:t>
      </w:r>
      <w:r w:rsidRPr="0068442A">
        <w:rPr>
          <w:rFonts w:ascii="Times New Roman" w:hAnsi="Times New Roman" w:cs="Times New Roman"/>
        </w:rPr>
        <w:t>girls and women</w:t>
      </w:r>
      <w:r w:rsidR="00971322" w:rsidRPr="0068442A">
        <w:rPr>
          <w:rFonts w:ascii="Times New Roman" w:hAnsi="Times New Roman" w:cs="Times New Roman"/>
        </w:rPr>
        <w:t>,</w:t>
      </w:r>
      <w:r w:rsidRPr="0068442A">
        <w:rPr>
          <w:rFonts w:ascii="Times New Roman" w:hAnsi="Times New Roman" w:cs="Times New Roman"/>
        </w:rPr>
        <w:t xml:space="preserve"> and to empower </w:t>
      </w:r>
      <w:r w:rsidR="002F1D94" w:rsidRPr="0068442A">
        <w:rPr>
          <w:rFonts w:ascii="Times New Roman" w:hAnsi="Times New Roman" w:cs="Times New Roman"/>
        </w:rPr>
        <w:t>them</w:t>
      </w:r>
      <w:r w:rsidRPr="0068442A">
        <w:rPr>
          <w:rFonts w:ascii="Times New Roman" w:hAnsi="Times New Roman" w:cs="Times New Roman"/>
        </w:rPr>
        <w:t xml:space="preserve"> at all levels by 2030. </w:t>
      </w:r>
      <w:r w:rsidR="008F0569">
        <w:rPr>
          <w:rFonts w:ascii="Times New Roman" w:hAnsi="Times New Roman" w:cs="Times New Roman"/>
        </w:rPr>
        <w:t>Nevertheless,</w:t>
      </w:r>
      <w:r w:rsidR="008F0569" w:rsidRPr="0068442A">
        <w:rPr>
          <w:rFonts w:ascii="Times New Roman" w:hAnsi="Times New Roman" w:cs="Times New Roman"/>
        </w:rPr>
        <w:t xml:space="preserve"> </w:t>
      </w:r>
      <w:r w:rsidRPr="0068442A">
        <w:rPr>
          <w:rFonts w:ascii="Times New Roman" w:hAnsi="Times New Roman" w:cs="Times New Roman"/>
        </w:rPr>
        <w:t>it is too early to foresee if Turkey will be able to achieve these goals</w:t>
      </w:r>
      <w:r w:rsidR="008F0569">
        <w:rPr>
          <w:rFonts w:ascii="Times New Roman" w:hAnsi="Times New Roman" w:cs="Times New Roman"/>
        </w:rPr>
        <w:t>;</w:t>
      </w:r>
      <w:r w:rsidR="004519D5" w:rsidRPr="0068442A">
        <w:rPr>
          <w:rFonts w:ascii="Times New Roman" w:hAnsi="Times New Roman" w:cs="Times New Roman"/>
        </w:rPr>
        <w:t xml:space="preserve"> </w:t>
      </w:r>
      <w:r w:rsidR="00761E03" w:rsidRPr="0068442A">
        <w:rPr>
          <w:rFonts w:ascii="Times New Roman" w:hAnsi="Times New Roman" w:cs="Times New Roman"/>
        </w:rPr>
        <w:t>i</w:t>
      </w:r>
      <w:r w:rsidR="00A1267F" w:rsidRPr="0068442A">
        <w:rPr>
          <w:rFonts w:ascii="Times New Roman" w:hAnsi="Times New Roman" w:cs="Times New Roman"/>
        </w:rPr>
        <w:t>t</w:t>
      </w:r>
      <w:r w:rsidR="002A75BA" w:rsidRPr="0068442A">
        <w:rPr>
          <w:rFonts w:ascii="Times New Roman" w:hAnsi="Times New Roman" w:cs="Times New Roman"/>
        </w:rPr>
        <w:t xml:space="preserve"> actually</w:t>
      </w:r>
      <w:r w:rsidR="00A1267F" w:rsidRPr="0068442A">
        <w:rPr>
          <w:rFonts w:ascii="Times New Roman" w:hAnsi="Times New Roman" w:cs="Times New Roman"/>
        </w:rPr>
        <w:t xml:space="preserve"> </w:t>
      </w:r>
      <w:r w:rsidR="001C7A01" w:rsidRPr="0068442A">
        <w:rPr>
          <w:rFonts w:ascii="Times New Roman" w:hAnsi="Times New Roman" w:cs="Times New Roman"/>
        </w:rPr>
        <w:t>missed the target of universal primary enrolment defined by EFA (education for all)</w:t>
      </w:r>
      <w:r w:rsidR="002A75BA" w:rsidRPr="0068442A">
        <w:rPr>
          <w:rFonts w:ascii="Times New Roman" w:hAnsi="Times New Roman" w:cs="Times New Roman"/>
        </w:rPr>
        <w:t xml:space="preserve"> in 2015</w:t>
      </w:r>
      <w:r w:rsidR="001C7A01" w:rsidRPr="0068442A">
        <w:rPr>
          <w:rFonts w:ascii="Times New Roman" w:hAnsi="Times New Roman" w:cs="Times New Roman"/>
        </w:rPr>
        <w:t xml:space="preserve">, </w:t>
      </w:r>
      <w:r w:rsidR="008F0569">
        <w:rPr>
          <w:rFonts w:ascii="Times New Roman" w:hAnsi="Times New Roman" w:cs="Times New Roman"/>
        </w:rPr>
        <w:t xml:space="preserve">which </w:t>
      </w:r>
      <w:r w:rsidR="00025231">
        <w:rPr>
          <w:rFonts w:ascii="Times New Roman" w:hAnsi="Times New Roman" w:cs="Times New Roman"/>
        </w:rPr>
        <w:t>illustrates</w:t>
      </w:r>
      <w:r w:rsidR="008F0569">
        <w:rPr>
          <w:rFonts w:ascii="Times New Roman" w:hAnsi="Times New Roman" w:cs="Times New Roman"/>
        </w:rPr>
        <w:t xml:space="preserve"> </w:t>
      </w:r>
      <w:r w:rsidR="00971322" w:rsidRPr="0068442A">
        <w:rPr>
          <w:rFonts w:ascii="Times New Roman" w:hAnsi="Times New Roman" w:cs="Times New Roman"/>
        </w:rPr>
        <w:t>that</w:t>
      </w:r>
      <w:r w:rsidRPr="0068442A">
        <w:rPr>
          <w:rFonts w:ascii="Times New Roman" w:hAnsi="Times New Roman" w:cs="Times New Roman"/>
        </w:rPr>
        <w:t xml:space="preserve"> there is still a long way to go tow</w:t>
      </w:r>
      <w:r w:rsidR="001C7A01" w:rsidRPr="0068442A">
        <w:rPr>
          <w:rFonts w:ascii="Times New Roman" w:hAnsi="Times New Roman" w:cs="Times New Roman"/>
        </w:rPr>
        <w:t xml:space="preserve">ards achieving gender equality. </w:t>
      </w:r>
    </w:p>
    <w:p w14:paraId="6B67913A" w14:textId="27B7CB5B" w:rsidR="00104DD8" w:rsidRPr="0068442A" w:rsidRDefault="00A243B0" w:rsidP="00104DD8">
      <w:pPr>
        <w:spacing w:line="360" w:lineRule="auto"/>
        <w:ind w:firstLine="720"/>
        <w:jc w:val="both"/>
        <w:rPr>
          <w:rFonts w:ascii="Times New Roman" w:hAnsi="Times New Roman" w:cs="Times New Roman"/>
        </w:rPr>
      </w:pPr>
      <w:r>
        <w:rPr>
          <w:rFonts w:ascii="Times New Roman" w:hAnsi="Times New Roman" w:cs="Times New Roman"/>
        </w:rPr>
        <w:t xml:space="preserve">In </w:t>
      </w:r>
      <w:r w:rsidRPr="0068442A">
        <w:rPr>
          <w:rFonts w:ascii="Times New Roman" w:hAnsi="Times New Roman" w:cs="Times New Roman"/>
        </w:rPr>
        <w:t>Turkey</w:t>
      </w:r>
      <w:r>
        <w:rPr>
          <w:rFonts w:ascii="Times New Roman" w:hAnsi="Times New Roman" w:cs="Times New Roman"/>
        </w:rPr>
        <w:t>, t</w:t>
      </w:r>
      <w:r w:rsidR="001C7A01" w:rsidRPr="0068442A">
        <w:rPr>
          <w:rFonts w:ascii="Times New Roman" w:hAnsi="Times New Roman" w:cs="Times New Roman"/>
        </w:rPr>
        <w:t xml:space="preserve">he </w:t>
      </w:r>
      <w:r w:rsidR="00BF6D74" w:rsidRPr="0068442A">
        <w:rPr>
          <w:rFonts w:ascii="Times New Roman" w:hAnsi="Times New Roman" w:cs="Times New Roman"/>
        </w:rPr>
        <w:t xml:space="preserve">main concern of gender equality </w:t>
      </w:r>
      <w:r w:rsidR="00323489" w:rsidRPr="0068442A">
        <w:rPr>
          <w:rFonts w:ascii="Times New Roman" w:hAnsi="Times New Roman" w:cs="Times New Roman"/>
        </w:rPr>
        <w:t xml:space="preserve">policy </w:t>
      </w:r>
      <w:r w:rsidR="00CB35A3" w:rsidRPr="0068442A">
        <w:rPr>
          <w:rFonts w:ascii="Times New Roman" w:hAnsi="Times New Roman" w:cs="Times New Roman"/>
        </w:rPr>
        <w:t>has been</w:t>
      </w:r>
      <w:r>
        <w:rPr>
          <w:rFonts w:ascii="Times New Roman" w:hAnsi="Times New Roman" w:cs="Times New Roman"/>
        </w:rPr>
        <w:t xml:space="preserve"> to</w:t>
      </w:r>
      <w:r w:rsidR="00CB35A3" w:rsidRPr="0068442A">
        <w:rPr>
          <w:rFonts w:ascii="Times New Roman" w:hAnsi="Times New Roman" w:cs="Times New Roman"/>
        </w:rPr>
        <w:t xml:space="preserve"> </w:t>
      </w:r>
      <w:r>
        <w:rPr>
          <w:rFonts w:ascii="Times New Roman" w:hAnsi="Times New Roman" w:cs="Times New Roman"/>
        </w:rPr>
        <w:t xml:space="preserve">bring about </w:t>
      </w:r>
      <w:r w:rsidR="00CB35A3" w:rsidRPr="0068442A">
        <w:rPr>
          <w:rFonts w:ascii="Times New Roman" w:hAnsi="Times New Roman" w:cs="Times New Roman"/>
        </w:rPr>
        <w:t>gender parity</w:t>
      </w:r>
      <w:r>
        <w:rPr>
          <w:rFonts w:ascii="Times New Roman" w:hAnsi="Times New Roman" w:cs="Times New Roman"/>
        </w:rPr>
        <w:t>; t</w:t>
      </w:r>
      <w:r w:rsidR="00CB35A3" w:rsidRPr="0068442A">
        <w:rPr>
          <w:rFonts w:ascii="Times New Roman" w:hAnsi="Times New Roman" w:cs="Times New Roman"/>
        </w:rPr>
        <w:t xml:space="preserve">he evaluative measurement of gender equality </w:t>
      </w:r>
      <w:r>
        <w:rPr>
          <w:rFonts w:ascii="Times New Roman" w:hAnsi="Times New Roman" w:cs="Times New Roman"/>
        </w:rPr>
        <w:t xml:space="preserve">has </w:t>
      </w:r>
      <w:r w:rsidR="00CB35A3" w:rsidRPr="0068442A">
        <w:rPr>
          <w:rFonts w:ascii="Times New Roman" w:hAnsi="Times New Roman" w:cs="Times New Roman"/>
        </w:rPr>
        <w:t xml:space="preserve">exclusively focused on </w:t>
      </w:r>
      <w:r w:rsidR="009E7030" w:rsidRPr="0068442A">
        <w:rPr>
          <w:rFonts w:ascii="Times New Roman" w:hAnsi="Times New Roman" w:cs="Times New Roman"/>
        </w:rPr>
        <w:t xml:space="preserve">the </w:t>
      </w:r>
      <w:r w:rsidR="00CB35A3" w:rsidRPr="0068442A">
        <w:rPr>
          <w:rFonts w:ascii="Times New Roman" w:hAnsi="Times New Roman" w:cs="Times New Roman"/>
        </w:rPr>
        <w:t xml:space="preserve">quantifiable indicator of closing the gender gap. </w:t>
      </w:r>
      <w:r w:rsidR="00BF6D74" w:rsidRPr="0068442A">
        <w:rPr>
          <w:rFonts w:ascii="Times New Roman" w:hAnsi="Times New Roman" w:cs="Times New Roman"/>
        </w:rPr>
        <w:t>The Ministry of National Education (MoNE) ha</w:t>
      </w:r>
      <w:r w:rsidR="002F1D94" w:rsidRPr="0068442A">
        <w:rPr>
          <w:rFonts w:ascii="Times New Roman" w:hAnsi="Times New Roman" w:cs="Times New Roman"/>
        </w:rPr>
        <w:t xml:space="preserve">s launched various campaigns </w:t>
      </w:r>
      <w:r w:rsidR="00BF6D74" w:rsidRPr="0068442A">
        <w:rPr>
          <w:rFonts w:ascii="Times New Roman" w:hAnsi="Times New Roman" w:cs="Times New Roman"/>
        </w:rPr>
        <w:t xml:space="preserve">to increase the number of girls </w:t>
      </w:r>
      <w:r w:rsidR="001272A3" w:rsidRPr="0068442A">
        <w:rPr>
          <w:rFonts w:ascii="Times New Roman" w:hAnsi="Times New Roman" w:cs="Times New Roman"/>
        </w:rPr>
        <w:t>in</w:t>
      </w:r>
      <w:r w:rsidR="00BF6D74" w:rsidRPr="0068442A">
        <w:rPr>
          <w:rFonts w:ascii="Times New Roman" w:hAnsi="Times New Roman" w:cs="Times New Roman"/>
        </w:rPr>
        <w:t xml:space="preserve"> secondary and primary schools and to achieve numerical equality in education</w:t>
      </w:r>
      <w:r w:rsidR="00104DD8" w:rsidRPr="0068442A">
        <w:rPr>
          <w:rFonts w:ascii="Times New Roman" w:hAnsi="Times New Roman" w:cs="Times New Roman"/>
        </w:rPr>
        <w:t xml:space="preserve"> (see Cin and Walker, 2016)</w:t>
      </w:r>
      <w:r w:rsidR="00BF6D74" w:rsidRPr="0068442A">
        <w:rPr>
          <w:rFonts w:ascii="Times New Roman" w:hAnsi="Times New Roman" w:cs="Times New Roman"/>
        </w:rPr>
        <w:t xml:space="preserve">. </w:t>
      </w:r>
      <w:r w:rsidR="00104DD8" w:rsidRPr="0068442A">
        <w:rPr>
          <w:rFonts w:ascii="Times New Roman" w:hAnsi="Times New Roman" w:cs="Times New Roman"/>
        </w:rPr>
        <w:t>T</w:t>
      </w:r>
      <w:r w:rsidR="00BF6D74" w:rsidRPr="0068442A">
        <w:rPr>
          <w:rFonts w:ascii="Times New Roman" w:hAnsi="Times New Roman" w:cs="Times New Roman"/>
        </w:rPr>
        <w:t xml:space="preserve">hese campaigns have </w:t>
      </w:r>
      <w:r w:rsidR="003433FD">
        <w:rPr>
          <w:rFonts w:ascii="Times New Roman" w:hAnsi="Times New Roman" w:cs="Times New Roman"/>
        </w:rPr>
        <w:t>attained</w:t>
      </w:r>
      <w:r w:rsidR="003433FD" w:rsidRPr="0068442A">
        <w:rPr>
          <w:rFonts w:ascii="Times New Roman" w:hAnsi="Times New Roman" w:cs="Times New Roman"/>
        </w:rPr>
        <w:t xml:space="preserve"> </w:t>
      </w:r>
      <w:r w:rsidR="003433FD">
        <w:rPr>
          <w:rFonts w:ascii="Times New Roman" w:hAnsi="Times New Roman" w:cs="Times New Roman"/>
        </w:rPr>
        <w:t>a</w:t>
      </w:r>
      <w:r w:rsidR="003433FD" w:rsidRPr="0068442A">
        <w:rPr>
          <w:rFonts w:ascii="Times New Roman" w:hAnsi="Times New Roman" w:cs="Times New Roman"/>
        </w:rPr>
        <w:t xml:space="preserve"> </w:t>
      </w:r>
      <w:r w:rsidR="00104DD8" w:rsidRPr="0068442A">
        <w:rPr>
          <w:rFonts w:ascii="Times New Roman" w:hAnsi="Times New Roman" w:cs="Times New Roman"/>
        </w:rPr>
        <w:t xml:space="preserve">level of numerical success by significantly </w:t>
      </w:r>
      <w:r w:rsidR="00BF6D74" w:rsidRPr="0068442A">
        <w:rPr>
          <w:rFonts w:ascii="Times New Roman" w:hAnsi="Times New Roman" w:cs="Times New Roman"/>
        </w:rPr>
        <w:t>increasing the enrolment rate of girl</w:t>
      </w:r>
      <w:r w:rsidR="00161229" w:rsidRPr="0068442A">
        <w:rPr>
          <w:rFonts w:ascii="Times New Roman" w:hAnsi="Times New Roman" w:cs="Times New Roman"/>
        </w:rPr>
        <w:t>s</w:t>
      </w:r>
      <w:r w:rsidR="00BF6D74" w:rsidRPr="0068442A">
        <w:rPr>
          <w:rFonts w:ascii="Times New Roman" w:hAnsi="Times New Roman" w:cs="Times New Roman"/>
        </w:rPr>
        <w:t xml:space="preserve"> </w:t>
      </w:r>
      <w:r w:rsidR="008818FA" w:rsidRPr="0068442A">
        <w:rPr>
          <w:rFonts w:ascii="Times New Roman" w:hAnsi="Times New Roman" w:cs="Times New Roman"/>
        </w:rPr>
        <w:t>in primary education</w:t>
      </w:r>
      <w:r w:rsidR="00784D9A" w:rsidRPr="0068442A">
        <w:rPr>
          <w:rFonts w:ascii="Times New Roman" w:hAnsi="Times New Roman" w:cs="Times New Roman"/>
        </w:rPr>
        <w:t>—</w:t>
      </w:r>
      <w:r w:rsidR="00104DD8" w:rsidRPr="0068442A">
        <w:rPr>
          <w:rFonts w:ascii="Times New Roman" w:hAnsi="Times New Roman" w:cs="Times New Roman"/>
        </w:rPr>
        <w:t>from 79 percent in 1</w:t>
      </w:r>
      <w:r w:rsidR="002450F7" w:rsidRPr="0068442A">
        <w:rPr>
          <w:rFonts w:ascii="Times New Roman" w:hAnsi="Times New Roman" w:cs="Times New Roman"/>
        </w:rPr>
        <w:t xml:space="preserve">997 to 95 </w:t>
      </w:r>
      <w:r w:rsidR="002450F7" w:rsidRPr="0068442A">
        <w:rPr>
          <w:rFonts w:ascii="Times New Roman" w:hAnsi="Times New Roman" w:cs="Times New Roman"/>
        </w:rPr>
        <w:lastRenderedPageBreak/>
        <w:t xml:space="preserve">percent in 2016 (MoNE, </w:t>
      </w:r>
      <w:r w:rsidR="00104DD8" w:rsidRPr="0068442A">
        <w:rPr>
          <w:rFonts w:ascii="Times New Roman" w:hAnsi="Times New Roman" w:cs="Times New Roman"/>
        </w:rPr>
        <w:t>2016)</w:t>
      </w:r>
      <w:r w:rsidR="00784D9A" w:rsidRPr="0068442A">
        <w:rPr>
          <w:rFonts w:ascii="Times New Roman" w:hAnsi="Times New Roman" w:cs="Times New Roman"/>
        </w:rPr>
        <w:t>—</w:t>
      </w:r>
      <w:r w:rsidR="00BF6D74" w:rsidRPr="0068442A">
        <w:rPr>
          <w:rFonts w:ascii="Times New Roman" w:hAnsi="Times New Roman" w:cs="Times New Roman"/>
        </w:rPr>
        <w:t xml:space="preserve">and </w:t>
      </w:r>
      <w:r w:rsidR="008818FA" w:rsidRPr="0068442A">
        <w:rPr>
          <w:rFonts w:ascii="Times New Roman" w:hAnsi="Times New Roman" w:cs="Times New Roman"/>
        </w:rPr>
        <w:t xml:space="preserve">by </w:t>
      </w:r>
      <w:r w:rsidR="004519D5" w:rsidRPr="0068442A">
        <w:rPr>
          <w:rFonts w:ascii="Times New Roman" w:hAnsi="Times New Roman" w:cs="Times New Roman"/>
        </w:rPr>
        <w:t xml:space="preserve">providing financial assistance to the most disadvantaged </w:t>
      </w:r>
      <w:r w:rsidR="00BF6D74" w:rsidRPr="0068442A">
        <w:rPr>
          <w:rFonts w:ascii="Times New Roman" w:hAnsi="Times New Roman" w:cs="Times New Roman"/>
        </w:rPr>
        <w:t>girls</w:t>
      </w:r>
      <w:r w:rsidR="004519D5" w:rsidRPr="0068442A">
        <w:rPr>
          <w:rFonts w:ascii="Times New Roman" w:hAnsi="Times New Roman" w:cs="Times New Roman"/>
        </w:rPr>
        <w:t xml:space="preserve"> in rural and Eastern areas</w:t>
      </w:r>
      <w:r w:rsidR="00BF6D74" w:rsidRPr="0068442A">
        <w:rPr>
          <w:rFonts w:ascii="Times New Roman" w:hAnsi="Times New Roman" w:cs="Times New Roman"/>
        </w:rPr>
        <w:t>. However</w:t>
      </w:r>
      <w:r w:rsidR="00161229" w:rsidRPr="0068442A">
        <w:rPr>
          <w:rFonts w:ascii="Times New Roman" w:hAnsi="Times New Roman" w:cs="Times New Roman"/>
        </w:rPr>
        <w:t xml:space="preserve">, </w:t>
      </w:r>
      <w:r w:rsidR="001272A3" w:rsidRPr="0068442A">
        <w:rPr>
          <w:rFonts w:ascii="Times New Roman" w:hAnsi="Times New Roman" w:cs="Times New Roman"/>
        </w:rPr>
        <w:t>little or no</w:t>
      </w:r>
      <w:r w:rsidR="00BF6D74" w:rsidRPr="0068442A">
        <w:rPr>
          <w:rFonts w:ascii="Times New Roman" w:hAnsi="Times New Roman" w:cs="Times New Roman"/>
        </w:rPr>
        <w:t xml:space="preserve"> attention has been given to </w:t>
      </w:r>
      <w:r w:rsidR="00104DD8" w:rsidRPr="0068442A">
        <w:rPr>
          <w:rFonts w:ascii="Times New Roman" w:hAnsi="Times New Roman" w:cs="Times New Roman"/>
        </w:rPr>
        <w:t xml:space="preserve">the qualitative and everyday </w:t>
      </w:r>
      <w:r w:rsidR="00BF6D74" w:rsidRPr="0068442A">
        <w:rPr>
          <w:rFonts w:ascii="Times New Roman" w:hAnsi="Times New Roman" w:cs="Times New Roman"/>
        </w:rPr>
        <w:t>schooling experiences</w:t>
      </w:r>
      <w:r w:rsidR="00104DD8" w:rsidRPr="0068442A">
        <w:rPr>
          <w:rFonts w:ascii="Times New Roman" w:hAnsi="Times New Roman" w:cs="Times New Roman"/>
        </w:rPr>
        <w:t xml:space="preserve"> of girls, </w:t>
      </w:r>
      <w:r w:rsidR="007D5AD1" w:rsidRPr="0068442A">
        <w:rPr>
          <w:rFonts w:ascii="Times New Roman" w:hAnsi="Times New Roman" w:cs="Times New Roman"/>
        </w:rPr>
        <w:t>gender and social relations</w:t>
      </w:r>
      <w:r w:rsidR="00BF6D74" w:rsidRPr="0068442A">
        <w:rPr>
          <w:rFonts w:ascii="Times New Roman" w:hAnsi="Times New Roman" w:cs="Times New Roman"/>
        </w:rPr>
        <w:t xml:space="preserve"> </w:t>
      </w:r>
      <w:r w:rsidR="007D5AD1" w:rsidRPr="0068442A">
        <w:rPr>
          <w:rFonts w:ascii="Times New Roman" w:hAnsi="Times New Roman" w:cs="Times New Roman"/>
        </w:rPr>
        <w:t>within and outside schools</w:t>
      </w:r>
      <w:r w:rsidR="00BF6D74" w:rsidRPr="0068442A">
        <w:rPr>
          <w:rFonts w:ascii="Times New Roman" w:hAnsi="Times New Roman" w:cs="Times New Roman"/>
        </w:rPr>
        <w:t>, the quality of education</w:t>
      </w:r>
      <w:r w:rsidR="007D5AD1" w:rsidRPr="0068442A">
        <w:rPr>
          <w:rFonts w:ascii="Times New Roman" w:hAnsi="Times New Roman" w:cs="Times New Roman"/>
        </w:rPr>
        <w:t xml:space="preserve">, patriarchal structures </w:t>
      </w:r>
      <w:r w:rsidR="000C4851">
        <w:rPr>
          <w:rFonts w:ascii="Times New Roman" w:hAnsi="Times New Roman" w:cs="Times New Roman"/>
        </w:rPr>
        <w:t xml:space="preserve">that </w:t>
      </w:r>
      <w:r w:rsidR="007D5AD1" w:rsidRPr="0068442A">
        <w:rPr>
          <w:rFonts w:ascii="Times New Roman" w:hAnsi="Times New Roman" w:cs="Times New Roman"/>
        </w:rPr>
        <w:t>shap</w:t>
      </w:r>
      <w:r w:rsidR="000C4851">
        <w:rPr>
          <w:rFonts w:ascii="Times New Roman" w:hAnsi="Times New Roman" w:cs="Times New Roman"/>
        </w:rPr>
        <w:t>e</w:t>
      </w:r>
      <w:r w:rsidR="007D5AD1" w:rsidRPr="0068442A">
        <w:rPr>
          <w:rFonts w:ascii="Times New Roman" w:hAnsi="Times New Roman" w:cs="Times New Roman"/>
        </w:rPr>
        <w:t xml:space="preserve"> girls</w:t>
      </w:r>
      <w:r w:rsidR="002F1D94" w:rsidRPr="0068442A">
        <w:rPr>
          <w:rFonts w:ascii="Times New Roman" w:hAnsi="Times New Roman" w:cs="Times New Roman"/>
        </w:rPr>
        <w:t>’</w:t>
      </w:r>
      <w:r w:rsidR="007D5AD1" w:rsidRPr="0068442A">
        <w:rPr>
          <w:rFonts w:ascii="Times New Roman" w:hAnsi="Times New Roman" w:cs="Times New Roman"/>
        </w:rPr>
        <w:t xml:space="preserve"> and boys</w:t>
      </w:r>
      <w:r w:rsidR="002F1D94" w:rsidRPr="0068442A">
        <w:rPr>
          <w:rFonts w:ascii="Times New Roman" w:hAnsi="Times New Roman" w:cs="Times New Roman"/>
        </w:rPr>
        <w:t>’</w:t>
      </w:r>
      <w:r w:rsidR="007D5AD1" w:rsidRPr="0068442A">
        <w:rPr>
          <w:rFonts w:ascii="Times New Roman" w:hAnsi="Times New Roman" w:cs="Times New Roman"/>
        </w:rPr>
        <w:t xml:space="preserve"> identities differently, and </w:t>
      </w:r>
      <w:r w:rsidR="00BF6D74" w:rsidRPr="0068442A">
        <w:rPr>
          <w:rFonts w:ascii="Times New Roman" w:hAnsi="Times New Roman" w:cs="Times New Roman"/>
        </w:rPr>
        <w:t xml:space="preserve">market and family relations </w:t>
      </w:r>
      <w:r w:rsidR="007D5AD1" w:rsidRPr="0068442A">
        <w:rPr>
          <w:rFonts w:ascii="Times New Roman" w:hAnsi="Times New Roman" w:cs="Times New Roman"/>
        </w:rPr>
        <w:t xml:space="preserve">that </w:t>
      </w:r>
      <w:r w:rsidR="00BF6D74" w:rsidRPr="0068442A">
        <w:rPr>
          <w:rFonts w:ascii="Times New Roman" w:hAnsi="Times New Roman" w:cs="Times New Roman"/>
        </w:rPr>
        <w:t>impact girls’ scho</w:t>
      </w:r>
      <w:r w:rsidR="002A75BA" w:rsidRPr="0068442A">
        <w:rPr>
          <w:rFonts w:ascii="Times New Roman" w:hAnsi="Times New Roman" w:cs="Times New Roman"/>
        </w:rPr>
        <w:t xml:space="preserve">oling (Cin </w:t>
      </w:r>
      <w:r w:rsidR="00881274" w:rsidRPr="0068442A">
        <w:rPr>
          <w:rFonts w:ascii="Times New Roman" w:hAnsi="Times New Roman" w:cs="Times New Roman"/>
        </w:rPr>
        <w:t xml:space="preserve">&amp; </w:t>
      </w:r>
      <w:r w:rsidR="002A75BA" w:rsidRPr="0068442A">
        <w:rPr>
          <w:rFonts w:ascii="Times New Roman" w:hAnsi="Times New Roman" w:cs="Times New Roman"/>
        </w:rPr>
        <w:t>Walker, 2016).</w:t>
      </w:r>
      <w:r w:rsidR="002F1D94" w:rsidRPr="0068442A">
        <w:rPr>
          <w:rFonts w:ascii="Times New Roman" w:hAnsi="Times New Roman" w:cs="Times New Roman"/>
        </w:rPr>
        <w:t xml:space="preserve"> </w:t>
      </w:r>
      <w:r w:rsidR="00EA77E6" w:rsidRPr="0068442A">
        <w:rPr>
          <w:rFonts w:ascii="Times New Roman" w:hAnsi="Times New Roman" w:cs="Times New Roman"/>
        </w:rPr>
        <w:t xml:space="preserve">This </w:t>
      </w:r>
      <w:r w:rsidR="00FD4D5D" w:rsidRPr="0068442A">
        <w:rPr>
          <w:rFonts w:ascii="Times New Roman" w:hAnsi="Times New Roman" w:cs="Times New Roman"/>
        </w:rPr>
        <w:t>implies</w:t>
      </w:r>
      <w:r w:rsidR="00EA77E6" w:rsidRPr="0068442A">
        <w:rPr>
          <w:rFonts w:ascii="Times New Roman" w:hAnsi="Times New Roman" w:cs="Times New Roman"/>
        </w:rPr>
        <w:t xml:space="preserve"> that t</w:t>
      </w:r>
      <w:r w:rsidR="00104DD8" w:rsidRPr="0068442A">
        <w:rPr>
          <w:rFonts w:ascii="Times New Roman" w:hAnsi="Times New Roman" w:cs="Times New Roman"/>
        </w:rPr>
        <w:t xml:space="preserve">he gender equality aspect of </w:t>
      </w:r>
      <w:r w:rsidR="00734C78" w:rsidRPr="0068442A">
        <w:rPr>
          <w:rFonts w:ascii="Times New Roman" w:hAnsi="Times New Roman" w:cs="Times New Roman"/>
        </w:rPr>
        <w:t xml:space="preserve">the </w:t>
      </w:r>
      <w:r w:rsidR="00104DD8" w:rsidRPr="0068442A">
        <w:rPr>
          <w:rFonts w:ascii="Times New Roman" w:hAnsi="Times New Roman" w:cs="Times New Roman"/>
        </w:rPr>
        <w:t xml:space="preserve">education agenda </w:t>
      </w:r>
      <w:r w:rsidR="00734C78" w:rsidRPr="0068442A">
        <w:rPr>
          <w:rFonts w:ascii="Times New Roman" w:hAnsi="Times New Roman" w:cs="Times New Roman"/>
        </w:rPr>
        <w:t xml:space="preserve">in </w:t>
      </w:r>
      <w:r w:rsidR="00104DD8" w:rsidRPr="0068442A">
        <w:rPr>
          <w:rFonts w:ascii="Times New Roman" w:hAnsi="Times New Roman" w:cs="Times New Roman"/>
        </w:rPr>
        <w:t xml:space="preserve">Turkey has a normative conceptual policy goal that </w:t>
      </w:r>
      <w:r w:rsidR="00734C78" w:rsidRPr="0068442A">
        <w:rPr>
          <w:rFonts w:ascii="Times New Roman" w:hAnsi="Times New Roman" w:cs="Times New Roman"/>
        </w:rPr>
        <w:t xml:space="preserve">relies </w:t>
      </w:r>
      <w:r w:rsidR="00104DD8" w:rsidRPr="0068442A">
        <w:rPr>
          <w:rFonts w:ascii="Times New Roman" w:hAnsi="Times New Roman" w:cs="Times New Roman"/>
        </w:rPr>
        <w:t xml:space="preserve">heavily on </w:t>
      </w:r>
      <w:r w:rsidR="00EA77E6" w:rsidRPr="0068442A">
        <w:rPr>
          <w:rFonts w:ascii="Times New Roman" w:hAnsi="Times New Roman" w:cs="Times New Roman"/>
        </w:rPr>
        <w:t>tangible and measurable outcome</w:t>
      </w:r>
      <w:r w:rsidR="00194C53" w:rsidRPr="0068442A">
        <w:rPr>
          <w:rFonts w:ascii="Times New Roman" w:hAnsi="Times New Roman" w:cs="Times New Roman"/>
        </w:rPr>
        <w:t>s</w:t>
      </w:r>
      <w:r w:rsidR="00D178A1" w:rsidRPr="0068442A">
        <w:rPr>
          <w:rFonts w:ascii="Times New Roman" w:hAnsi="Times New Roman" w:cs="Times New Roman"/>
        </w:rPr>
        <w:t>,</w:t>
      </w:r>
      <w:r w:rsidR="00EA77E6" w:rsidRPr="0068442A">
        <w:rPr>
          <w:rFonts w:ascii="Times New Roman" w:hAnsi="Times New Roman" w:cs="Times New Roman"/>
        </w:rPr>
        <w:t xml:space="preserve"> which frame an intervention strategy based on numerical parity.</w:t>
      </w:r>
    </w:p>
    <w:p w14:paraId="184B7479" w14:textId="29749B99" w:rsidR="00684F94" w:rsidRPr="0068442A" w:rsidRDefault="007638E9" w:rsidP="004C608B">
      <w:pPr>
        <w:spacing w:line="360" w:lineRule="auto"/>
        <w:jc w:val="both"/>
        <w:rPr>
          <w:rFonts w:ascii="Times New Roman" w:hAnsi="Times New Roman" w:cs="Times New Roman"/>
        </w:rPr>
      </w:pPr>
      <w:r w:rsidRPr="0068442A">
        <w:rPr>
          <w:rFonts w:ascii="Times New Roman" w:hAnsi="Times New Roman" w:cs="Times New Roman"/>
        </w:rPr>
        <w:t xml:space="preserve">The </w:t>
      </w:r>
      <w:r w:rsidR="00EA77E6" w:rsidRPr="0068442A">
        <w:rPr>
          <w:rFonts w:ascii="Times New Roman" w:hAnsi="Times New Roman" w:cs="Times New Roman"/>
        </w:rPr>
        <w:t>latest 4</w:t>
      </w:r>
      <w:r w:rsidR="00BF6D74" w:rsidRPr="0068442A">
        <w:rPr>
          <w:rFonts w:ascii="Times New Roman" w:hAnsi="Times New Roman" w:cs="Times New Roman"/>
        </w:rPr>
        <w:t>+4+4 (4+) education reform</w:t>
      </w:r>
      <w:r w:rsidR="000A56EE" w:rsidRPr="0068442A">
        <w:rPr>
          <w:rFonts w:ascii="Times New Roman" w:hAnsi="Times New Roman" w:cs="Times New Roman"/>
        </w:rPr>
        <w:t>,</w:t>
      </w:r>
      <w:r w:rsidR="00BF6D74" w:rsidRPr="0068442A">
        <w:rPr>
          <w:rFonts w:ascii="Times New Roman" w:hAnsi="Times New Roman" w:cs="Times New Roman"/>
        </w:rPr>
        <w:t xml:space="preserve"> </w:t>
      </w:r>
      <w:r w:rsidR="00112722" w:rsidRPr="0068442A">
        <w:rPr>
          <w:rFonts w:ascii="Times New Roman" w:hAnsi="Times New Roman" w:cs="Times New Roman"/>
        </w:rPr>
        <w:t xml:space="preserve">made </w:t>
      </w:r>
      <w:r w:rsidR="00BF6D74" w:rsidRPr="0068442A">
        <w:rPr>
          <w:rFonts w:ascii="Times New Roman" w:hAnsi="Times New Roman" w:cs="Times New Roman"/>
        </w:rPr>
        <w:t>in 2012</w:t>
      </w:r>
      <w:r w:rsidR="000A56EE" w:rsidRPr="0068442A">
        <w:rPr>
          <w:rFonts w:ascii="Times New Roman" w:hAnsi="Times New Roman" w:cs="Times New Roman"/>
        </w:rPr>
        <w:t>,</w:t>
      </w:r>
      <w:r w:rsidRPr="0068442A">
        <w:rPr>
          <w:rFonts w:ascii="Times New Roman" w:hAnsi="Times New Roman" w:cs="Times New Roman"/>
        </w:rPr>
        <w:t xml:space="preserve"> sparked</w:t>
      </w:r>
      <w:r w:rsidR="00BF6D74" w:rsidRPr="0068442A">
        <w:rPr>
          <w:rFonts w:ascii="Times New Roman" w:hAnsi="Times New Roman" w:cs="Times New Roman"/>
        </w:rPr>
        <w:t xml:space="preserve"> </w:t>
      </w:r>
      <w:r w:rsidR="00142BCF">
        <w:rPr>
          <w:rFonts w:ascii="Times New Roman" w:hAnsi="Times New Roman" w:cs="Times New Roman"/>
        </w:rPr>
        <w:t>harsh</w:t>
      </w:r>
      <w:r w:rsidR="00142BCF" w:rsidRPr="0068442A">
        <w:rPr>
          <w:rFonts w:ascii="Times New Roman" w:hAnsi="Times New Roman" w:cs="Times New Roman"/>
        </w:rPr>
        <w:t xml:space="preserve"> </w:t>
      </w:r>
      <w:r w:rsidR="00BF6D74" w:rsidRPr="0068442A">
        <w:rPr>
          <w:rFonts w:ascii="Times New Roman" w:hAnsi="Times New Roman" w:cs="Times New Roman"/>
        </w:rPr>
        <w:t xml:space="preserve">and fervent debates about girls’ schooling. </w:t>
      </w:r>
      <w:r w:rsidR="00D12F2F" w:rsidRPr="0068442A">
        <w:rPr>
          <w:rFonts w:ascii="Times New Roman" w:hAnsi="Times New Roman" w:cs="Times New Roman"/>
        </w:rPr>
        <w:t>The 4+</w:t>
      </w:r>
      <w:r w:rsidR="00860998" w:rsidRPr="0068442A">
        <w:rPr>
          <w:rFonts w:ascii="Times New Roman" w:hAnsi="Times New Roman" w:cs="Times New Roman"/>
        </w:rPr>
        <w:t xml:space="preserve"> education reform under the Justice and Development Party</w:t>
      </w:r>
      <w:r w:rsidRPr="0068442A">
        <w:rPr>
          <w:rStyle w:val="FootnoteReference"/>
          <w:rFonts w:ascii="Times New Roman" w:hAnsi="Times New Roman" w:cs="Times New Roman"/>
        </w:rPr>
        <w:footnoteReference w:id="1"/>
      </w:r>
      <w:r w:rsidRPr="0068442A">
        <w:rPr>
          <w:rFonts w:ascii="Times New Roman" w:hAnsi="Times New Roman" w:cs="Times New Roman"/>
        </w:rPr>
        <w:t xml:space="preserve"> (</w:t>
      </w:r>
      <w:r w:rsidR="00860998" w:rsidRPr="0068442A">
        <w:rPr>
          <w:rFonts w:ascii="Times New Roman" w:hAnsi="Times New Roman" w:cs="Times New Roman"/>
        </w:rPr>
        <w:t>JDP</w:t>
      </w:r>
      <w:r w:rsidRPr="0068442A">
        <w:rPr>
          <w:rFonts w:ascii="Times New Roman" w:hAnsi="Times New Roman" w:cs="Times New Roman"/>
        </w:rPr>
        <w:t>) government was designed with the aim of democratising the education system. What made the 4+</w:t>
      </w:r>
      <w:r w:rsidRPr="0068442A">
        <w:rPr>
          <w:rFonts w:ascii="Times New Roman" w:hAnsi="Times New Roman" w:cs="Times New Roman"/>
          <w:i/>
        </w:rPr>
        <w:t xml:space="preserve"> </w:t>
      </w:r>
      <w:r w:rsidRPr="0068442A">
        <w:rPr>
          <w:rFonts w:ascii="Times New Roman" w:hAnsi="Times New Roman" w:cs="Times New Roman"/>
        </w:rPr>
        <w:t xml:space="preserve">significant and </w:t>
      </w:r>
      <w:r w:rsidR="00B77B84">
        <w:rPr>
          <w:rFonts w:ascii="Times New Roman" w:hAnsi="Times New Roman" w:cs="Times New Roman"/>
        </w:rPr>
        <w:t>distinct</w:t>
      </w:r>
      <w:r w:rsidR="00B77B84" w:rsidRPr="0068442A">
        <w:rPr>
          <w:rFonts w:ascii="Times New Roman" w:hAnsi="Times New Roman" w:cs="Times New Roman"/>
        </w:rPr>
        <w:t xml:space="preserve"> </w:t>
      </w:r>
      <w:r w:rsidR="00B77B84">
        <w:rPr>
          <w:rFonts w:ascii="Times New Roman" w:hAnsi="Times New Roman" w:cs="Times New Roman"/>
        </w:rPr>
        <w:t xml:space="preserve">from other reforms </w:t>
      </w:r>
      <w:r w:rsidRPr="0068442A">
        <w:rPr>
          <w:rFonts w:ascii="Times New Roman" w:hAnsi="Times New Roman" w:cs="Times New Roman"/>
        </w:rPr>
        <w:t xml:space="preserve">was that the government </w:t>
      </w:r>
      <w:r w:rsidR="00B77B84">
        <w:rPr>
          <w:rFonts w:ascii="Times New Roman" w:hAnsi="Times New Roman" w:cs="Times New Roman"/>
        </w:rPr>
        <w:t>sought</w:t>
      </w:r>
      <w:r w:rsidR="00B77B84" w:rsidRPr="0068442A">
        <w:rPr>
          <w:rFonts w:ascii="Times New Roman" w:hAnsi="Times New Roman" w:cs="Times New Roman"/>
        </w:rPr>
        <w:t xml:space="preserve"> </w:t>
      </w:r>
      <w:r w:rsidRPr="0068442A">
        <w:rPr>
          <w:rFonts w:ascii="Times New Roman" w:hAnsi="Times New Roman" w:cs="Times New Roman"/>
        </w:rPr>
        <w:t xml:space="preserve">to </w:t>
      </w:r>
      <w:r w:rsidR="00B77B84">
        <w:rPr>
          <w:rFonts w:ascii="Times New Roman" w:hAnsi="Times New Roman" w:cs="Times New Roman"/>
        </w:rPr>
        <w:t xml:space="preserve">use it to </w:t>
      </w:r>
      <w:r w:rsidRPr="0068442A">
        <w:rPr>
          <w:rFonts w:ascii="Times New Roman" w:hAnsi="Times New Roman" w:cs="Times New Roman"/>
        </w:rPr>
        <w:t xml:space="preserve">wipe the slate clean and </w:t>
      </w:r>
      <w:r w:rsidR="00B77B84" w:rsidRPr="0068442A">
        <w:rPr>
          <w:rFonts w:ascii="Times New Roman" w:hAnsi="Times New Roman" w:cs="Times New Roman"/>
        </w:rPr>
        <w:t xml:space="preserve">completely </w:t>
      </w:r>
      <w:r w:rsidRPr="0068442A">
        <w:rPr>
          <w:rFonts w:ascii="Times New Roman" w:hAnsi="Times New Roman" w:cs="Times New Roman"/>
        </w:rPr>
        <w:t>change the structure of the ed</w:t>
      </w:r>
      <w:r w:rsidR="002C3615" w:rsidRPr="0068442A">
        <w:rPr>
          <w:rFonts w:ascii="Times New Roman" w:hAnsi="Times New Roman" w:cs="Times New Roman"/>
        </w:rPr>
        <w:t xml:space="preserve">ucation system (Inal, </w:t>
      </w:r>
      <w:r w:rsidRPr="0068442A">
        <w:rPr>
          <w:rFonts w:ascii="Times New Roman" w:hAnsi="Times New Roman" w:cs="Times New Roman"/>
        </w:rPr>
        <w:t xml:space="preserve">2012, 79). </w:t>
      </w:r>
      <w:r w:rsidR="000D71A7" w:rsidRPr="0068442A">
        <w:rPr>
          <w:rFonts w:ascii="Times New Roman" w:hAnsi="Times New Roman" w:cs="Times New Roman"/>
        </w:rPr>
        <w:t xml:space="preserve">According to the </w:t>
      </w:r>
      <w:r w:rsidR="00444993" w:rsidRPr="0068442A">
        <w:rPr>
          <w:rFonts w:ascii="Times New Roman" w:hAnsi="Times New Roman" w:cs="Times New Roman"/>
        </w:rPr>
        <w:t>bill</w:t>
      </w:r>
      <w:r w:rsidR="00F5150C" w:rsidRPr="0068442A">
        <w:rPr>
          <w:rFonts w:ascii="Times New Roman" w:hAnsi="Times New Roman" w:cs="Times New Roman"/>
        </w:rPr>
        <w:t>,</w:t>
      </w:r>
      <w:r w:rsidR="00444993" w:rsidRPr="0068442A">
        <w:rPr>
          <w:rFonts w:ascii="Times New Roman" w:hAnsi="Times New Roman" w:cs="Times New Roman"/>
        </w:rPr>
        <w:t xml:space="preserve"> the </w:t>
      </w:r>
      <w:r w:rsidR="000D71A7" w:rsidRPr="0068442A">
        <w:rPr>
          <w:rFonts w:ascii="Times New Roman" w:hAnsi="Times New Roman" w:cs="Times New Roman"/>
        </w:rPr>
        <w:t xml:space="preserve">4+ </w:t>
      </w:r>
      <w:r w:rsidR="00F5150C" w:rsidRPr="0068442A">
        <w:rPr>
          <w:rFonts w:ascii="Times New Roman" w:hAnsi="Times New Roman" w:cs="Times New Roman"/>
        </w:rPr>
        <w:t xml:space="preserve">reform was </w:t>
      </w:r>
      <w:r w:rsidR="00B77B84">
        <w:rPr>
          <w:rFonts w:ascii="Times New Roman" w:hAnsi="Times New Roman" w:cs="Times New Roman"/>
        </w:rPr>
        <w:t>necessary</w:t>
      </w:r>
      <w:r w:rsidR="00B77B84" w:rsidRPr="0068442A">
        <w:rPr>
          <w:rFonts w:ascii="Times New Roman" w:hAnsi="Times New Roman" w:cs="Times New Roman"/>
        </w:rPr>
        <w:t xml:space="preserve"> </w:t>
      </w:r>
      <w:r w:rsidR="00B77B84">
        <w:rPr>
          <w:rFonts w:ascii="Times New Roman" w:hAnsi="Times New Roman" w:cs="Times New Roman"/>
        </w:rPr>
        <w:t>due to</w:t>
      </w:r>
      <w:r w:rsidR="00B77B84" w:rsidRPr="0068442A">
        <w:rPr>
          <w:rFonts w:ascii="Times New Roman" w:hAnsi="Times New Roman" w:cs="Times New Roman"/>
        </w:rPr>
        <w:t xml:space="preserve"> </w:t>
      </w:r>
      <w:r w:rsidR="000D71A7" w:rsidRPr="0068442A">
        <w:rPr>
          <w:rFonts w:ascii="Times New Roman" w:hAnsi="Times New Roman" w:cs="Times New Roman"/>
        </w:rPr>
        <w:t xml:space="preserve">the difficulties people in “the rural parts of Turkey have gone through”, which </w:t>
      </w:r>
      <w:r w:rsidR="00B77B84">
        <w:rPr>
          <w:rFonts w:ascii="Times New Roman" w:hAnsi="Times New Roman" w:cs="Times New Roman"/>
        </w:rPr>
        <w:t xml:space="preserve">has </w:t>
      </w:r>
      <w:r w:rsidR="000D71A7" w:rsidRPr="0068442A">
        <w:rPr>
          <w:rFonts w:ascii="Times New Roman" w:hAnsi="Times New Roman" w:cs="Times New Roman"/>
        </w:rPr>
        <w:t>stopped them from sending</w:t>
      </w:r>
      <w:r w:rsidR="003403EF" w:rsidRPr="0068442A">
        <w:rPr>
          <w:rFonts w:ascii="Times New Roman" w:hAnsi="Times New Roman" w:cs="Times New Roman"/>
        </w:rPr>
        <w:t>—</w:t>
      </w:r>
      <w:r w:rsidR="000D71A7" w:rsidRPr="0068442A">
        <w:rPr>
          <w:rFonts w:ascii="Times New Roman" w:hAnsi="Times New Roman" w:cs="Times New Roman"/>
        </w:rPr>
        <w:t>especially</w:t>
      </w:r>
      <w:r w:rsidR="003403EF" w:rsidRPr="0068442A">
        <w:rPr>
          <w:rFonts w:ascii="Times New Roman" w:hAnsi="Times New Roman" w:cs="Times New Roman"/>
        </w:rPr>
        <w:t>—</w:t>
      </w:r>
      <w:r w:rsidR="000D71A7" w:rsidRPr="0068442A">
        <w:rPr>
          <w:rFonts w:ascii="Times New Roman" w:hAnsi="Times New Roman" w:cs="Times New Roman"/>
        </w:rPr>
        <w:t>t</w:t>
      </w:r>
      <w:r w:rsidR="002450F7" w:rsidRPr="0068442A">
        <w:rPr>
          <w:rFonts w:ascii="Times New Roman" w:hAnsi="Times New Roman" w:cs="Times New Roman"/>
        </w:rPr>
        <w:t xml:space="preserve">heir daughters to schools (TBMM, </w:t>
      </w:r>
      <w:r w:rsidR="000D71A7" w:rsidRPr="0068442A">
        <w:rPr>
          <w:rFonts w:ascii="Times New Roman" w:hAnsi="Times New Roman" w:cs="Times New Roman"/>
        </w:rPr>
        <w:t>2012, 9). The reform launched a number of initiatives</w:t>
      </w:r>
      <w:r w:rsidR="00374AB7" w:rsidRPr="0068442A">
        <w:rPr>
          <w:rFonts w:ascii="Times New Roman" w:hAnsi="Times New Roman" w:cs="Times New Roman"/>
        </w:rPr>
        <w:t>,</w:t>
      </w:r>
      <w:r w:rsidR="000D71A7" w:rsidRPr="0068442A">
        <w:rPr>
          <w:rFonts w:ascii="Times New Roman" w:hAnsi="Times New Roman" w:cs="Times New Roman"/>
        </w:rPr>
        <w:t xml:space="preserve"> such as</w:t>
      </w:r>
      <w:r w:rsidR="00374AB7" w:rsidRPr="0068442A">
        <w:rPr>
          <w:rFonts w:ascii="Times New Roman" w:hAnsi="Times New Roman" w:cs="Times New Roman"/>
        </w:rPr>
        <w:t xml:space="preserve"> </w:t>
      </w:r>
      <w:r w:rsidR="000D71A7" w:rsidRPr="0068442A">
        <w:rPr>
          <w:rFonts w:ascii="Times New Roman" w:hAnsi="Times New Roman" w:cs="Times New Roman"/>
        </w:rPr>
        <w:t xml:space="preserve">provision </w:t>
      </w:r>
      <w:r w:rsidR="00374AB7" w:rsidRPr="0068442A">
        <w:rPr>
          <w:rFonts w:ascii="Times New Roman" w:hAnsi="Times New Roman" w:cs="Times New Roman"/>
        </w:rPr>
        <w:t xml:space="preserve">for the </w:t>
      </w:r>
      <w:r w:rsidR="000D71A7" w:rsidRPr="0068442A">
        <w:rPr>
          <w:rFonts w:ascii="Times New Roman" w:hAnsi="Times New Roman" w:cs="Times New Roman"/>
        </w:rPr>
        <w:t>expansion of religious (</w:t>
      </w:r>
      <w:r w:rsidR="000D71A7" w:rsidRPr="0068442A">
        <w:rPr>
          <w:rFonts w:ascii="Times New Roman" w:hAnsi="Times New Roman" w:cs="Times New Roman"/>
          <w:i/>
        </w:rPr>
        <w:t>imam hatip</w:t>
      </w:r>
      <w:r w:rsidR="000D71A7" w:rsidRPr="0068442A">
        <w:rPr>
          <w:rFonts w:ascii="Times New Roman" w:hAnsi="Times New Roman" w:cs="Times New Roman"/>
        </w:rPr>
        <w:t xml:space="preserve">) schools and promoting open education in an attempt to ensure the </w:t>
      </w:r>
      <w:r w:rsidR="004519D5" w:rsidRPr="0068442A">
        <w:rPr>
          <w:rFonts w:ascii="Times New Roman" w:hAnsi="Times New Roman" w:cs="Times New Roman"/>
        </w:rPr>
        <w:t xml:space="preserve">continuity of girls’ education. </w:t>
      </w:r>
      <w:r w:rsidR="005F6EB9">
        <w:rPr>
          <w:rFonts w:ascii="Times New Roman" w:hAnsi="Times New Roman" w:cs="Times New Roman"/>
        </w:rPr>
        <w:t>However, some consider that</w:t>
      </w:r>
      <w:r w:rsidR="004519D5" w:rsidRPr="0068442A">
        <w:rPr>
          <w:rFonts w:ascii="Times New Roman" w:hAnsi="Times New Roman" w:cs="Times New Roman"/>
        </w:rPr>
        <w:t xml:space="preserve"> </w:t>
      </w:r>
      <w:r w:rsidR="006379B9" w:rsidRPr="0068442A">
        <w:rPr>
          <w:rFonts w:ascii="Times New Roman" w:hAnsi="Times New Roman" w:cs="Times New Roman"/>
        </w:rPr>
        <w:t xml:space="preserve">the </w:t>
      </w:r>
      <w:r w:rsidR="00FD2A13" w:rsidRPr="0068442A">
        <w:rPr>
          <w:rFonts w:ascii="Times New Roman" w:hAnsi="Times New Roman" w:cs="Times New Roman"/>
        </w:rPr>
        <w:t>new</w:t>
      </w:r>
      <w:r w:rsidR="004519D5" w:rsidRPr="0068442A">
        <w:rPr>
          <w:rFonts w:ascii="Times New Roman" w:hAnsi="Times New Roman" w:cs="Times New Roman"/>
        </w:rPr>
        <w:t xml:space="preserve"> 4+ education reform</w:t>
      </w:r>
      <w:r w:rsidR="001C7A01" w:rsidRPr="0068442A">
        <w:rPr>
          <w:rFonts w:ascii="Times New Roman" w:hAnsi="Times New Roman" w:cs="Times New Roman"/>
        </w:rPr>
        <w:t xml:space="preserve"> challenge</w:t>
      </w:r>
      <w:r w:rsidR="004519D5" w:rsidRPr="0068442A">
        <w:rPr>
          <w:rFonts w:ascii="Times New Roman" w:hAnsi="Times New Roman" w:cs="Times New Roman"/>
        </w:rPr>
        <w:t>s</w:t>
      </w:r>
      <w:r w:rsidR="001C7A01" w:rsidRPr="0068442A">
        <w:rPr>
          <w:rFonts w:ascii="Times New Roman" w:hAnsi="Times New Roman" w:cs="Times New Roman"/>
        </w:rPr>
        <w:t xml:space="preserve"> MoNE’s 20 years of efforts launching legislation, campaigns</w:t>
      </w:r>
      <w:r w:rsidR="006379B9" w:rsidRPr="0068442A">
        <w:rPr>
          <w:rFonts w:ascii="Times New Roman" w:hAnsi="Times New Roman" w:cs="Times New Roman"/>
        </w:rPr>
        <w:t>,</w:t>
      </w:r>
      <w:r w:rsidR="001C7A01" w:rsidRPr="0068442A">
        <w:rPr>
          <w:rFonts w:ascii="Times New Roman" w:hAnsi="Times New Roman" w:cs="Times New Roman"/>
        </w:rPr>
        <w:t xml:space="preserve"> and policies to expand girls’ schooling</w:t>
      </w:r>
      <w:r w:rsidR="003F5D0F" w:rsidRPr="0068442A">
        <w:rPr>
          <w:rFonts w:ascii="Times New Roman" w:hAnsi="Times New Roman" w:cs="Times New Roman"/>
        </w:rPr>
        <w:t xml:space="preserve"> (Egitim-Sen</w:t>
      </w:r>
      <w:r w:rsidR="002450F7" w:rsidRPr="0068442A">
        <w:rPr>
          <w:rFonts w:ascii="Times New Roman" w:hAnsi="Times New Roman" w:cs="Times New Roman"/>
        </w:rPr>
        <w:t xml:space="preserve">, </w:t>
      </w:r>
      <w:r w:rsidR="00FD2A13" w:rsidRPr="0068442A">
        <w:rPr>
          <w:rFonts w:ascii="Times New Roman" w:hAnsi="Times New Roman" w:cs="Times New Roman"/>
        </w:rPr>
        <w:t>2013)</w:t>
      </w:r>
      <w:r w:rsidR="005F6EB9">
        <w:rPr>
          <w:rFonts w:ascii="Times New Roman" w:hAnsi="Times New Roman" w:cs="Times New Roman"/>
        </w:rPr>
        <w:t>.</w:t>
      </w:r>
      <w:r w:rsidR="004519D5" w:rsidRPr="0068442A">
        <w:rPr>
          <w:rFonts w:ascii="Times New Roman" w:hAnsi="Times New Roman" w:cs="Times New Roman"/>
        </w:rPr>
        <w:t xml:space="preserve"> </w:t>
      </w:r>
      <w:r w:rsidR="005F6EB9">
        <w:rPr>
          <w:rFonts w:ascii="Times New Roman" w:hAnsi="Times New Roman" w:cs="Times New Roman"/>
        </w:rPr>
        <w:t>T</w:t>
      </w:r>
      <w:r w:rsidR="001C7A01" w:rsidRPr="0068442A">
        <w:rPr>
          <w:rFonts w:ascii="Times New Roman" w:hAnsi="Times New Roman" w:cs="Times New Roman"/>
        </w:rPr>
        <w:t xml:space="preserve">he reform claims to </w:t>
      </w:r>
      <w:r w:rsidR="005F6EB9">
        <w:rPr>
          <w:rFonts w:ascii="Times New Roman" w:hAnsi="Times New Roman" w:cs="Times New Roman"/>
        </w:rPr>
        <w:t>establish</w:t>
      </w:r>
      <w:r w:rsidR="005F6EB9" w:rsidRPr="0068442A">
        <w:rPr>
          <w:rFonts w:ascii="Times New Roman" w:hAnsi="Times New Roman" w:cs="Times New Roman"/>
        </w:rPr>
        <w:t xml:space="preserve"> </w:t>
      </w:r>
      <w:r w:rsidR="001C7A01" w:rsidRPr="0068442A">
        <w:rPr>
          <w:rFonts w:ascii="Times New Roman" w:hAnsi="Times New Roman" w:cs="Times New Roman"/>
        </w:rPr>
        <w:t xml:space="preserve">12 years of compulsory education, </w:t>
      </w:r>
      <w:r w:rsidR="004519D5" w:rsidRPr="0068442A">
        <w:rPr>
          <w:rFonts w:ascii="Times New Roman" w:hAnsi="Times New Roman" w:cs="Times New Roman"/>
        </w:rPr>
        <w:t xml:space="preserve">but </w:t>
      </w:r>
      <w:r w:rsidR="001C7A01" w:rsidRPr="0068442A">
        <w:rPr>
          <w:rFonts w:ascii="Times New Roman" w:hAnsi="Times New Roman" w:cs="Times New Roman"/>
        </w:rPr>
        <w:t xml:space="preserve">it actually paves the way for </w:t>
      </w:r>
      <w:r w:rsidR="00B90B86" w:rsidRPr="0068442A">
        <w:rPr>
          <w:rFonts w:ascii="Times New Roman" w:hAnsi="Times New Roman" w:cs="Times New Roman"/>
        </w:rPr>
        <w:t xml:space="preserve">students to </w:t>
      </w:r>
      <w:r w:rsidR="001C7A01" w:rsidRPr="0068442A">
        <w:rPr>
          <w:rFonts w:ascii="Times New Roman" w:hAnsi="Times New Roman" w:cs="Times New Roman"/>
        </w:rPr>
        <w:t>leav</w:t>
      </w:r>
      <w:r w:rsidR="00B90B86" w:rsidRPr="0068442A">
        <w:rPr>
          <w:rFonts w:ascii="Times New Roman" w:hAnsi="Times New Roman" w:cs="Times New Roman"/>
        </w:rPr>
        <w:t>e</w:t>
      </w:r>
      <w:r w:rsidR="001C7A01" w:rsidRPr="0068442A">
        <w:rPr>
          <w:rFonts w:ascii="Times New Roman" w:hAnsi="Times New Roman" w:cs="Times New Roman"/>
        </w:rPr>
        <w:t xml:space="preserve"> at the end of year four and opt for open education or </w:t>
      </w:r>
      <w:r w:rsidR="001C7A01" w:rsidRPr="0068442A">
        <w:rPr>
          <w:rFonts w:ascii="Times New Roman" w:hAnsi="Times New Roman" w:cs="Times New Roman"/>
          <w:i/>
        </w:rPr>
        <w:t xml:space="preserve">imam hatip </w:t>
      </w:r>
      <w:r w:rsidR="001C7A01" w:rsidRPr="0068442A">
        <w:rPr>
          <w:rFonts w:ascii="Times New Roman" w:hAnsi="Times New Roman" w:cs="Times New Roman"/>
        </w:rPr>
        <w:t>(religious) middle schools</w:t>
      </w:r>
      <w:r w:rsidR="00184750">
        <w:rPr>
          <w:rFonts w:ascii="Times New Roman" w:hAnsi="Times New Roman" w:cs="Times New Roman"/>
        </w:rPr>
        <w:t>,</w:t>
      </w:r>
      <w:r w:rsidR="001C7A01" w:rsidRPr="0068442A">
        <w:rPr>
          <w:rFonts w:ascii="Times New Roman" w:hAnsi="Times New Roman" w:cs="Times New Roman"/>
        </w:rPr>
        <w:t xml:space="preserve"> which are provided as a solution</w:t>
      </w:r>
      <w:r w:rsidR="009753D3" w:rsidRPr="0068442A">
        <w:rPr>
          <w:rFonts w:ascii="Times New Roman" w:hAnsi="Times New Roman" w:cs="Times New Roman"/>
        </w:rPr>
        <w:t xml:space="preserve"> </w:t>
      </w:r>
      <w:r w:rsidR="00F5150C" w:rsidRPr="0068442A">
        <w:rPr>
          <w:rFonts w:ascii="Times New Roman" w:hAnsi="Times New Roman" w:cs="Times New Roman"/>
        </w:rPr>
        <w:t xml:space="preserve">to </w:t>
      </w:r>
      <w:r w:rsidR="00795627">
        <w:rPr>
          <w:rFonts w:ascii="Times New Roman" w:hAnsi="Times New Roman" w:cs="Times New Roman"/>
        </w:rPr>
        <w:t xml:space="preserve">the problem of </w:t>
      </w:r>
      <w:r w:rsidR="00F5150C" w:rsidRPr="0068442A">
        <w:rPr>
          <w:rFonts w:ascii="Times New Roman" w:hAnsi="Times New Roman" w:cs="Times New Roman"/>
        </w:rPr>
        <w:t>expand</w:t>
      </w:r>
      <w:r w:rsidR="00795627">
        <w:rPr>
          <w:rFonts w:ascii="Times New Roman" w:hAnsi="Times New Roman" w:cs="Times New Roman"/>
        </w:rPr>
        <w:t>ing</w:t>
      </w:r>
      <w:r w:rsidR="00F5150C" w:rsidRPr="0068442A">
        <w:rPr>
          <w:rFonts w:ascii="Times New Roman" w:hAnsi="Times New Roman" w:cs="Times New Roman"/>
        </w:rPr>
        <w:t xml:space="preserve"> girls’ education</w:t>
      </w:r>
      <w:r w:rsidR="00184750">
        <w:rPr>
          <w:rFonts w:ascii="Times New Roman" w:hAnsi="Times New Roman" w:cs="Times New Roman"/>
        </w:rPr>
        <w:t xml:space="preserve">. However, </w:t>
      </w:r>
      <w:r w:rsidR="00795627">
        <w:rPr>
          <w:rFonts w:ascii="Times New Roman" w:hAnsi="Times New Roman" w:cs="Times New Roman"/>
        </w:rPr>
        <w:t xml:space="preserve">there is a lack of </w:t>
      </w:r>
      <w:r w:rsidR="00795627" w:rsidRPr="0068442A">
        <w:rPr>
          <w:rFonts w:ascii="Times New Roman" w:hAnsi="Times New Roman" w:cs="Times New Roman"/>
        </w:rPr>
        <w:t>scrutin</w:t>
      </w:r>
      <w:r w:rsidR="00795627">
        <w:rPr>
          <w:rFonts w:ascii="Times New Roman" w:hAnsi="Times New Roman" w:cs="Times New Roman"/>
        </w:rPr>
        <w:t xml:space="preserve">y of </w:t>
      </w:r>
      <w:r w:rsidR="001C7A01" w:rsidRPr="0068442A">
        <w:rPr>
          <w:rFonts w:ascii="Times New Roman" w:hAnsi="Times New Roman" w:cs="Times New Roman"/>
        </w:rPr>
        <w:t xml:space="preserve">the quality of education offered at these schools, </w:t>
      </w:r>
      <w:r w:rsidR="00184750">
        <w:rPr>
          <w:rFonts w:ascii="Times New Roman" w:hAnsi="Times New Roman" w:cs="Times New Roman"/>
        </w:rPr>
        <w:t>the</w:t>
      </w:r>
      <w:r w:rsidR="00184750" w:rsidRPr="0068442A">
        <w:rPr>
          <w:rFonts w:ascii="Times New Roman" w:hAnsi="Times New Roman" w:cs="Times New Roman"/>
        </w:rPr>
        <w:t xml:space="preserve"> </w:t>
      </w:r>
      <w:r w:rsidR="001C7A01" w:rsidRPr="0068442A">
        <w:rPr>
          <w:rFonts w:ascii="Times New Roman" w:hAnsi="Times New Roman" w:cs="Times New Roman"/>
        </w:rPr>
        <w:t>schooling experiences</w:t>
      </w:r>
      <w:r w:rsidR="00184750">
        <w:rPr>
          <w:rFonts w:ascii="Times New Roman" w:hAnsi="Times New Roman" w:cs="Times New Roman"/>
        </w:rPr>
        <w:t xml:space="preserve"> of girls</w:t>
      </w:r>
      <w:r w:rsidR="001C7A01" w:rsidRPr="0068442A">
        <w:rPr>
          <w:rFonts w:ascii="Times New Roman" w:hAnsi="Times New Roman" w:cs="Times New Roman"/>
        </w:rPr>
        <w:t xml:space="preserve"> within this education system</w:t>
      </w:r>
      <w:r w:rsidR="00B90B86" w:rsidRPr="0068442A">
        <w:rPr>
          <w:rFonts w:ascii="Times New Roman" w:hAnsi="Times New Roman" w:cs="Times New Roman"/>
        </w:rPr>
        <w:t>,</w:t>
      </w:r>
      <w:r w:rsidR="001C7A01" w:rsidRPr="0068442A">
        <w:rPr>
          <w:rFonts w:ascii="Times New Roman" w:hAnsi="Times New Roman" w:cs="Times New Roman"/>
        </w:rPr>
        <w:t xml:space="preserve"> and </w:t>
      </w:r>
      <w:r w:rsidR="00184750">
        <w:rPr>
          <w:rFonts w:ascii="Times New Roman" w:hAnsi="Times New Roman" w:cs="Times New Roman"/>
        </w:rPr>
        <w:t xml:space="preserve">a failure to address </w:t>
      </w:r>
      <w:r w:rsidR="001C7A01" w:rsidRPr="0068442A">
        <w:rPr>
          <w:rFonts w:ascii="Times New Roman" w:hAnsi="Times New Roman" w:cs="Times New Roman"/>
        </w:rPr>
        <w:t xml:space="preserve">the </w:t>
      </w:r>
      <w:r w:rsidR="005706B0" w:rsidRPr="0068442A">
        <w:rPr>
          <w:rFonts w:ascii="Times New Roman" w:hAnsi="Times New Roman" w:cs="Times New Roman"/>
        </w:rPr>
        <w:t xml:space="preserve">matter </w:t>
      </w:r>
      <w:r w:rsidR="001C7A01" w:rsidRPr="0068442A">
        <w:rPr>
          <w:rFonts w:ascii="Times New Roman" w:hAnsi="Times New Roman" w:cs="Times New Roman"/>
        </w:rPr>
        <w:t>of child brides/labo</w:t>
      </w:r>
      <w:r w:rsidR="00D412C1" w:rsidRPr="0068442A">
        <w:rPr>
          <w:rFonts w:ascii="Times New Roman" w:hAnsi="Times New Roman" w:cs="Times New Roman"/>
        </w:rPr>
        <w:t>u</w:t>
      </w:r>
      <w:r w:rsidR="001C7A01" w:rsidRPr="0068442A">
        <w:rPr>
          <w:rFonts w:ascii="Times New Roman" w:hAnsi="Times New Roman" w:cs="Times New Roman"/>
        </w:rPr>
        <w:t>r. Although recent figures</w:t>
      </w:r>
      <w:r w:rsidR="0045677F" w:rsidRPr="0068442A">
        <w:rPr>
          <w:rStyle w:val="FootnoteReference"/>
          <w:rFonts w:ascii="Times New Roman" w:hAnsi="Times New Roman" w:cs="Times New Roman"/>
        </w:rPr>
        <w:footnoteReference w:id="2"/>
      </w:r>
      <w:r w:rsidR="003F5D0F" w:rsidRPr="0068442A">
        <w:rPr>
          <w:rFonts w:ascii="Times New Roman" w:hAnsi="Times New Roman" w:cs="Times New Roman"/>
        </w:rPr>
        <w:t xml:space="preserve"> (MoNE</w:t>
      </w:r>
      <w:r w:rsidR="002450F7" w:rsidRPr="0068442A">
        <w:rPr>
          <w:rFonts w:ascii="Times New Roman" w:hAnsi="Times New Roman" w:cs="Times New Roman"/>
        </w:rPr>
        <w:t xml:space="preserve">, </w:t>
      </w:r>
      <w:r w:rsidR="001C7A01" w:rsidRPr="0068442A">
        <w:rPr>
          <w:rFonts w:ascii="Times New Roman" w:hAnsi="Times New Roman" w:cs="Times New Roman"/>
        </w:rPr>
        <w:t>201</w:t>
      </w:r>
      <w:r w:rsidR="0045677F" w:rsidRPr="0068442A">
        <w:rPr>
          <w:rFonts w:ascii="Times New Roman" w:hAnsi="Times New Roman" w:cs="Times New Roman"/>
        </w:rPr>
        <w:t>6</w:t>
      </w:r>
      <w:r w:rsidR="001C7A01" w:rsidRPr="0068442A">
        <w:rPr>
          <w:rFonts w:ascii="Times New Roman" w:hAnsi="Times New Roman" w:cs="Times New Roman"/>
        </w:rPr>
        <w:t>) showed some increase in girls’ enrolment in secondary schools as many girls started to sig</w:t>
      </w:r>
      <w:r w:rsidR="00D412C1" w:rsidRPr="0068442A">
        <w:rPr>
          <w:rFonts w:ascii="Times New Roman" w:hAnsi="Times New Roman" w:cs="Times New Roman"/>
        </w:rPr>
        <w:t xml:space="preserve">n up for open education or </w:t>
      </w:r>
      <w:r w:rsidR="00074989" w:rsidRPr="0068442A">
        <w:rPr>
          <w:rFonts w:ascii="Times New Roman" w:hAnsi="Times New Roman" w:cs="Times New Roman"/>
        </w:rPr>
        <w:t>enrol</w:t>
      </w:r>
      <w:r w:rsidR="001C7A01" w:rsidRPr="0068442A">
        <w:rPr>
          <w:rFonts w:ascii="Times New Roman" w:hAnsi="Times New Roman" w:cs="Times New Roman"/>
        </w:rPr>
        <w:t xml:space="preserve"> at </w:t>
      </w:r>
      <w:r w:rsidR="001C7A01" w:rsidRPr="0068442A">
        <w:rPr>
          <w:rFonts w:ascii="Times New Roman" w:hAnsi="Times New Roman" w:cs="Times New Roman"/>
          <w:i/>
        </w:rPr>
        <w:t>imam hatip</w:t>
      </w:r>
      <w:r w:rsidR="001C7A01" w:rsidRPr="0068442A">
        <w:rPr>
          <w:rFonts w:ascii="Times New Roman" w:hAnsi="Times New Roman" w:cs="Times New Roman"/>
        </w:rPr>
        <w:t xml:space="preserve"> schools</w:t>
      </w:r>
      <w:r w:rsidR="0036444C" w:rsidRPr="0068442A">
        <w:rPr>
          <w:rFonts w:ascii="Times New Roman" w:hAnsi="Times New Roman" w:cs="Times New Roman"/>
        </w:rPr>
        <w:t>, the</w:t>
      </w:r>
      <w:r w:rsidR="00C54A8D" w:rsidRPr="0068442A">
        <w:rPr>
          <w:rFonts w:ascii="Times New Roman" w:hAnsi="Times New Roman" w:cs="Times New Roman"/>
        </w:rPr>
        <w:t xml:space="preserve"> </w:t>
      </w:r>
      <w:r w:rsidR="001C7A01" w:rsidRPr="0068442A">
        <w:rPr>
          <w:rFonts w:ascii="Times New Roman" w:hAnsi="Times New Roman" w:cs="Times New Roman"/>
        </w:rPr>
        <w:t>increase in enrolment rates do</w:t>
      </w:r>
      <w:r w:rsidR="004072AA" w:rsidRPr="0068442A">
        <w:rPr>
          <w:rFonts w:ascii="Times New Roman" w:hAnsi="Times New Roman" w:cs="Times New Roman"/>
        </w:rPr>
        <w:t>es</w:t>
      </w:r>
      <w:r w:rsidR="001C7A01" w:rsidRPr="0068442A">
        <w:rPr>
          <w:rFonts w:ascii="Times New Roman" w:hAnsi="Times New Roman" w:cs="Times New Roman"/>
        </w:rPr>
        <w:t xml:space="preserve"> not necessarily demonstrate equality </w:t>
      </w:r>
      <w:r w:rsidR="00CF1D89" w:rsidRPr="0068442A">
        <w:rPr>
          <w:rFonts w:ascii="Times New Roman" w:hAnsi="Times New Roman" w:cs="Times New Roman"/>
        </w:rPr>
        <w:t xml:space="preserve">or </w:t>
      </w:r>
      <w:r w:rsidR="001C7A01" w:rsidRPr="0068442A">
        <w:rPr>
          <w:rFonts w:ascii="Times New Roman" w:hAnsi="Times New Roman" w:cs="Times New Roman"/>
        </w:rPr>
        <w:t>quality in education. The policy understanding of equality, which rests on gender parity</w:t>
      </w:r>
      <w:r w:rsidR="00F96E0A" w:rsidRPr="0068442A">
        <w:rPr>
          <w:rFonts w:ascii="Times New Roman" w:hAnsi="Times New Roman" w:cs="Times New Roman"/>
        </w:rPr>
        <w:t>,</w:t>
      </w:r>
      <w:r w:rsidR="001C7A01" w:rsidRPr="0068442A">
        <w:rPr>
          <w:rFonts w:ascii="Times New Roman" w:hAnsi="Times New Roman" w:cs="Times New Roman"/>
        </w:rPr>
        <w:t xml:space="preserve"> </w:t>
      </w:r>
      <w:r w:rsidR="0036444C" w:rsidRPr="0068442A">
        <w:rPr>
          <w:rFonts w:ascii="Times New Roman" w:hAnsi="Times New Roman" w:cs="Times New Roman"/>
        </w:rPr>
        <w:t>can</w:t>
      </w:r>
      <w:r w:rsidR="001C7A01" w:rsidRPr="0068442A">
        <w:rPr>
          <w:rFonts w:ascii="Times New Roman" w:hAnsi="Times New Roman" w:cs="Times New Roman"/>
        </w:rPr>
        <w:t xml:space="preserve">not address </w:t>
      </w:r>
      <w:r w:rsidR="00744209" w:rsidRPr="0068442A">
        <w:rPr>
          <w:rFonts w:ascii="Times New Roman" w:hAnsi="Times New Roman" w:cs="Times New Roman"/>
        </w:rPr>
        <w:t xml:space="preserve">the </w:t>
      </w:r>
      <w:r w:rsidR="001C7A01" w:rsidRPr="0068442A">
        <w:rPr>
          <w:rFonts w:ascii="Times New Roman" w:hAnsi="Times New Roman" w:cs="Times New Roman"/>
        </w:rPr>
        <w:t xml:space="preserve">structural problems girls face, such as how they engage with school, or what </w:t>
      </w:r>
      <w:r w:rsidR="003F5D0F" w:rsidRPr="0068442A">
        <w:rPr>
          <w:rFonts w:ascii="Times New Roman" w:hAnsi="Times New Roman" w:cs="Times New Roman"/>
        </w:rPr>
        <w:t>and how they learn (Unterhalter</w:t>
      </w:r>
      <w:r w:rsidR="002450F7" w:rsidRPr="0068442A">
        <w:rPr>
          <w:rFonts w:ascii="Times New Roman" w:hAnsi="Times New Roman" w:cs="Times New Roman"/>
        </w:rPr>
        <w:t xml:space="preserve">, </w:t>
      </w:r>
      <w:r w:rsidR="001C7A01" w:rsidRPr="0068442A">
        <w:rPr>
          <w:rFonts w:ascii="Times New Roman" w:hAnsi="Times New Roman" w:cs="Times New Roman"/>
        </w:rPr>
        <w:t>2005).</w:t>
      </w:r>
      <w:r w:rsidR="0066109E" w:rsidRPr="0068442A">
        <w:rPr>
          <w:rFonts w:ascii="Times New Roman" w:hAnsi="Times New Roman" w:cs="Times New Roman"/>
        </w:rPr>
        <w:t xml:space="preserve"> </w:t>
      </w:r>
      <w:r w:rsidR="0044377B" w:rsidRPr="0068442A">
        <w:rPr>
          <w:rFonts w:ascii="Times New Roman" w:hAnsi="Times New Roman" w:cs="Times New Roman"/>
        </w:rPr>
        <w:t>Therefore</w:t>
      </w:r>
      <w:r w:rsidR="001C7A01" w:rsidRPr="0068442A">
        <w:rPr>
          <w:rFonts w:ascii="Times New Roman" w:hAnsi="Times New Roman" w:cs="Times New Roman"/>
        </w:rPr>
        <w:t>, in this research</w:t>
      </w:r>
      <w:r w:rsidR="0036444C" w:rsidRPr="0068442A">
        <w:rPr>
          <w:rFonts w:ascii="Times New Roman" w:hAnsi="Times New Roman" w:cs="Times New Roman"/>
        </w:rPr>
        <w:t>,</w:t>
      </w:r>
      <w:r w:rsidR="001C7A01" w:rsidRPr="0068442A">
        <w:rPr>
          <w:rFonts w:ascii="Times New Roman" w:hAnsi="Times New Roman" w:cs="Times New Roman"/>
        </w:rPr>
        <w:t xml:space="preserve"> </w:t>
      </w:r>
      <w:r w:rsidR="00BC65BF" w:rsidRPr="0068442A">
        <w:rPr>
          <w:rFonts w:ascii="Times New Roman" w:hAnsi="Times New Roman" w:cs="Times New Roman"/>
        </w:rPr>
        <w:t xml:space="preserve">we aim to provide an </w:t>
      </w:r>
      <w:r w:rsidR="001C7A01" w:rsidRPr="0068442A">
        <w:rPr>
          <w:rFonts w:ascii="Times New Roman" w:hAnsi="Times New Roman" w:cs="Times New Roman"/>
        </w:rPr>
        <w:t xml:space="preserve">analysis </w:t>
      </w:r>
      <w:r w:rsidR="00074989" w:rsidRPr="0068442A">
        <w:rPr>
          <w:rFonts w:ascii="Times New Roman" w:hAnsi="Times New Roman" w:cs="Times New Roman"/>
        </w:rPr>
        <w:t xml:space="preserve">of girls’ schooling by </w:t>
      </w:r>
      <w:r w:rsidR="007428DF" w:rsidRPr="0068442A">
        <w:rPr>
          <w:rFonts w:ascii="Times New Roman" w:hAnsi="Times New Roman" w:cs="Times New Roman"/>
        </w:rPr>
        <w:t>looking at</w:t>
      </w:r>
      <w:r w:rsidR="001C7A01" w:rsidRPr="0068442A">
        <w:rPr>
          <w:rFonts w:ascii="Times New Roman" w:hAnsi="Times New Roman" w:cs="Times New Roman"/>
        </w:rPr>
        <w:t xml:space="preserve"> the 4+ reform and its outcomes on girls’ education</w:t>
      </w:r>
      <w:r w:rsidR="00F96E0A" w:rsidRPr="0068442A">
        <w:rPr>
          <w:rFonts w:ascii="Times New Roman" w:hAnsi="Times New Roman" w:cs="Times New Roman"/>
        </w:rPr>
        <w:t>.</w:t>
      </w:r>
      <w:r w:rsidR="0066109E" w:rsidRPr="0068442A">
        <w:rPr>
          <w:rFonts w:ascii="Times New Roman" w:hAnsi="Times New Roman" w:cs="Times New Roman"/>
        </w:rPr>
        <w:t xml:space="preserve"> </w:t>
      </w:r>
      <w:r w:rsidR="00F96E0A" w:rsidRPr="0068442A">
        <w:rPr>
          <w:rFonts w:ascii="Times New Roman" w:hAnsi="Times New Roman" w:cs="Times New Roman"/>
        </w:rPr>
        <w:t>Our goal is to</w:t>
      </w:r>
      <w:r w:rsidR="00E9561F" w:rsidRPr="0068442A">
        <w:rPr>
          <w:rFonts w:ascii="Times New Roman" w:hAnsi="Times New Roman" w:cs="Times New Roman"/>
        </w:rPr>
        <w:t xml:space="preserve"> understand the </w:t>
      </w:r>
      <w:r w:rsidR="00F96E0A" w:rsidRPr="0068442A">
        <w:rPr>
          <w:rFonts w:ascii="Times New Roman" w:hAnsi="Times New Roman" w:cs="Times New Roman"/>
        </w:rPr>
        <w:t>initial</w:t>
      </w:r>
      <w:r w:rsidR="00E9561F" w:rsidRPr="0068442A">
        <w:rPr>
          <w:rFonts w:ascii="Times New Roman" w:hAnsi="Times New Roman" w:cs="Times New Roman"/>
        </w:rPr>
        <w:t xml:space="preserve"> implications of this reform </w:t>
      </w:r>
      <w:r w:rsidR="00A967F2">
        <w:rPr>
          <w:rFonts w:ascii="Times New Roman" w:hAnsi="Times New Roman" w:cs="Times New Roman"/>
        </w:rPr>
        <w:t xml:space="preserve">on </w:t>
      </w:r>
      <w:r w:rsidR="00A967F2" w:rsidRPr="0068442A">
        <w:rPr>
          <w:rFonts w:ascii="Times New Roman" w:hAnsi="Times New Roman" w:cs="Times New Roman"/>
        </w:rPr>
        <w:t xml:space="preserve">girls’ schooling </w:t>
      </w:r>
      <w:r w:rsidR="004E4214" w:rsidRPr="0068442A">
        <w:rPr>
          <w:rFonts w:ascii="Times New Roman" w:hAnsi="Times New Roman" w:cs="Times New Roman"/>
        </w:rPr>
        <w:t>fro</w:t>
      </w:r>
      <w:r w:rsidR="00F5150C" w:rsidRPr="0068442A">
        <w:rPr>
          <w:rFonts w:ascii="Times New Roman" w:hAnsi="Times New Roman" w:cs="Times New Roman"/>
        </w:rPr>
        <w:t>m a gender perspective</w:t>
      </w:r>
      <w:r w:rsidR="00F96E0A" w:rsidRPr="0068442A">
        <w:rPr>
          <w:rFonts w:ascii="Times New Roman" w:hAnsi="Times New Roman" w:cs="Times New Roman"/>
        </w:rPr>
        <w:t>,</w:t>
      </w:r>
      <w:r w:rsidR="00585A7B" w:rsidRPr="0068442A">
        <w:rPr>
          <w:rFonts w:ascii="Times New Roman" w:hAnsi="Times New Roman" w:cs="Times New Roman"/>
        </w:rPr>
        <w:t xml:space="preserve"> and</w:t>
      </w:r>
      <w:r w:rsidR="00E9561F" w:rsidRPr="0068442A">
        <w:rPr>
          <w:rFonts w:ascii="Times New Roman" w:hAnsi="Times New Roman" w:cs="Times New Roman"/>
        </w:rPr>
        <w:t xml:space="preserve"> </w:t>
      </w:r>
      <w:r w:rsidR="00F96E0A" w:rsidRPr="0068442A">
        <w:rPr>
          <w:rFonts w:ascii="Times New Roman" w:hAnsi="Times New Roman" w:cs="Times New Roman"/>
        </w:rPr>
        <w:t xml:space="preserve">to </w:t>
      </w:r>
      <w:r w:rsidR="00E9561F" w:rsidRPr="0068442A">
        <w:rPr>
          <w:rFonts w:ascii="Times New Roman" w:hAnsi="Times New Roman" w:cs="Times New Roman"/>
        </w:rPr>
        <w:t xml:space="preserve">map out whether such </w:t>
      </w:r>
      <w:r w:rsidR="00437EA3">
        <w:rPr>
          <w:rFonts w:ascii="Times New Roman" w:hAnsi="Times New Roman" w:cs="Times New Roman"/>
        </w:rPr>
        <w:t xml:space="preserve">a </w:t>
      </w:r>
      <w:r w:rsidR="00E9561F" w:rsidRPr="0068442A">
        <w:rPr>
          <w:rFonts w:ascii="Times New Roman" w:hAnsi="Times New Roman" w:cs="Times New Roman"/>
        </w:rPr>
        <w:t>reform</w:t>
      </w:r>
      <w:r w:rsidR="00437EA3">
        <w:rPr>
          <w:rFonts w:ascii="Times New Roman" w:hAnsi="Times New Roman" w:cs="Times New Roman"/>
        </w:rPr>
        <w:t>,</w:t>
      </w:r>
      <w:r w:rsidR="00E9561F" w:rsidRPr="0068442A">
        <w:rPr>
          <w:rFonts w:ascii="Times New Roman" w:hAnsi="Times New Roman" w:cs="Times New Roman"/>
        </w:rPr>
        <w:t xml:space="preserve"> within the context of </w:t>
      </w:r>
      <w:r w:rsidR="00F96E0A" w:rsidRPr="0068442A">
        <w:rPr>
          <w:rFonts w:ascii="Times New Roman" w:hAnsi="Times New Roman" w:cs="Times New Roman"/>
        </w:rPr>
        <w:t xml:space="preserve">the </w:t>
      </w:r>
      <w:r w:rsidR="00E9561F" w:rsidRPr="0068442A">
        <w:rPr>
          <w:rFonts w:ascii="Times New Roman" w:hAnsi="Times New Roman" w:cs="Times New Roman"/>
        </w:rPr>
        <w:t>current social</w:t>
      </w:r>
      <w:r w:rsidR="007428DF" w:rsidRPr="0068442A">
        <w:rPr>
          <w:rFonts w:ascii="Times New Roman" w:hAnsi="Times New Roman" w:cs="Times New Roman"/>
        </w:rPr>
        <w:t>ly</w:t>
      </w:r>
      <w:r w:rsidR="00E9561F" w:rsidRPr="0068442A">
        <w:rPr>
          <w:rFonts w:ascii="Times New Roman" w:hAnsi="Times New Roman" w:cs="Times New Roman"/>
        </w:rPr>
        <w:t xml:space="preserve"> and </w:t>
      </w:r>
      <w:r w:rsidR="0036444C" w:rsidRPr="0068442A">
        <w:rPr>
          <w:rFonts w:ascii="Times New Roman" w:hAnsi="Times New Roman" w:cs="Times New Roman"/>
        </w:rPr>
        <w:t>cultural</w:t>
      </w:r>
      <w:r w:rsidR="007428DF" w:rsidRPr="0068442A">
        <w:rPr>
          <w:rFonts w:ascii="Times New Roman" w:hAnsi="Times New Roman" w:cs="Times New Roman"/>
        </w:rPr>
        <w:t>ly pervasive patriarchal</w:t>
      </w:r>
      <w:r w:rsidR="0036444C" w:rsidRPr="0068442A">
        <w:rPr>
          <w:rFonts w:ascii="Times New Roman" w:hAnsi="Times New Roman" w:cs="Times New Roman"/>
        </w:rPr>
        <w:t xml:space="preserve"> </w:t>
      </w:r>
      <w:r w:rsidR="00E9561F" w:rsidRPr="0068442A">
        <w:rPr>
          <w:rFonts w:ascii="Times New Roman" w:hAnsi="Times New Roman" w:cs="Times New Roman"/>
        </w:rPr>
        <w:t>environment of Turkey</w:t>
      </w:r>
      <w:r w:rsidR="00437EA3">
        <w:rPr>
          <w:rFonts w:ascii="Times New Roman" w:hAnsi="Times New Roman" w:cs="Times New Roman"/>
        </w:rPr>
        <w:t>,</w:t>
      </w:r>
      <w:r w:rsidR="00E9561F" w:rsidRPr="0068442A">
        <w:rPr>
          <w:rFonts w:ascii="Times New Roman" w:hAnsi="Times New Roman" w:cs="Times New Roman"/>
        </w:rPr>
        <w:t xml:space="preserve"> can </w:t>
      </w:r>
      <w:r w:rsidR="00F012FA" w:rsidRPr="0068442A">
        <w:rPr>
          <w:rFonts w:ascii="Times New Roman" w:hAnsi="Times New Roman" w:cs="Times New Roman"/>
        </w:rPr>
        <w:t>advance the</w:t>
      </w:r>
      <w:r w:rsidR="00A32B6D" w:rsidRPr="0068442A">
        <w:rPr>
          <w:rFonts w:ascii="Times New Roman" w:hAnsi="Times New Roman" w:cs="Times New Roman"/>
        </w:rPr>
        <w:t xml:space="preserve"> </w:t>
      </w:r>
      <w:r w:rsidR="00E9561F" w:rsidRPr="0068442A">
        <w:rPr>
          <w:rFonts w:ascii="Times New Roman" w:hAnsi="Times New Roman" w:cs="Times New Roman"/>
        </w:rPr>
        <w:t xml:space="preserve">concerns of gender equality </w:t>
      </w:r>
      <w:r w:rsidR="00A32B6D" w:rsidRPr="0068442A">
        <w:rPr>
          <w:rFonts w:ascii="Times New Roman" w:hAnsi="Times New Roman" w:cs="Times New Roman"/>
        </w:rPr>
        <w:t>in any way</w:t>
      </w:r>
      <w:r w:rsidR="00E9561F" w:rsidRPr="0068442A">
        <w:rPr>
          <w:rFonts w:ascii="Times New Roman" w:hAnsi="Times New Roman" w:cs="Times New Roman"/>
        </w:rPr>
        <w:t xml:space="preserve">. </w:t>
      </w:r>
      <w:r w:rsidR="00951521" w:rsidRPr="0068442A">
        <w:rPr>
          <w:rFonts w:ascii="Times New Roman" w:hAnsi="Times New Roman" w:cs="Times New Roman"/>
        </w:rPr>
        <w:t>D</w:t>
      </w:r>
      <w:r w:rsidR="00684F94" w:rsidRPr="0068442A">
        <w:rPr>
          <w:rFonts w:ascii="Times New Roman" w:hAnsi="Times New Roman" w:cs="Times New Roman"/>
        </w:rPr>
        <w:t xml:space="preserve">rawing </w:t>
      </w:r>
      <w:r w:rsidR="00E46310">
        <w:rPr>
          <w:rFonts w:ascii="Times New Roman" w:hAnsi="Times New Roman" w:cs="Times New Roman"/>
        </w:rPr>
        <w:t>on</w:t>
      </w:r>
      <w:r w:rsidR="00E46310" w:rsidRPr="0068442A">
        <w:rPr>
          <w:rFonts w:ascii="Times New Roman" w:hAnsi="Times New Roman" w:cs="Times New Roman"/>
        </w:rPr>
        <w:t xml:space="preserve"> </w:t>
      </w:r>
      <w:r w:rsidR="00951521" w:rsidRPr="0068442A">
        <w:rPr>
          <w:rFonts w:ascii="Times New Roman" w:hAnsi="Times New Roman" w:cs="Times New Roman"/>
        </w:rPr>
        <w:t xml:space="preserve">the </w:t>
      </w:r>
      <w:r w:rsidR="00684F94" w:rsidRPr="0068442A">
        <w:rPr>
          <w:rFonts w:ascii="Times New Roman" w:hAnsi="Times New Roman" w:cs="Times New Roman"/>
        </w:rPr>
        <w:t>capabilities-based gender equality perspective, we focus</w:t>
      </w:r>
      <w:r w:rsidR="0039393A" w:rsidRPr="0068442A">
        <w:rPr>
          <w:rFonts w:ascii="Times New Roman" w:hAnsi="Times New Roman" w:cs="Times New Roman"/>
        </w:rPr>
        <w:t xml:space="preserve"> on</w:t>
      </w:r>
      <w:r w:rsidR="009E5ED1" w:rsidRPr="0068442A">
        <w:rPr>
          <w:rFonts w:ascii="Times New Roman" w:hAnsi="Times New Roman" w:cs="Times New Roman"/>
        </w:rPr>
        <w:t xml:space="preserve"> i)</w:t>
      </w:r>
      <w:r w:rsidR="0039393A" w:rsidRPr="0068442A">
        <w:rPr>
          <w:rFonts w:ascii="Times New Roman" w:hAnsi="Times New Roman" w:cs="Times New Roman"/>
        </w:rPr>
        <w:t xml:space="preserve"> </w:t>
      </w:r>
      <w:r w:rsidR="007D5AD1" w:rsidRPr="0068442A">
        <w:rPr>
          <w:rFonts w:ascii="Times New Roman" w:hAnsi="Times New Roman" w:cs="Times New Roman"/>
        </w:rPr>
        <w:t>stakeholders</w:t>
      </w:r>
      <w:r w:rsidR="00951521" w:rsidRPr="0068442A">
        <w:rPr>
          <w:rFonts w:ascii="Times New Roman" w:hAnsi="Times New Roman" w:cs="Times New Roman"/>
        </w:rPr>
        <w:t xml:space="preserve">, i.e. </w:t>
      </w:r>
      <w:r w:rsidR="007D5AD1" w:rsidRPr="0068442A">
        <w:rPr>
          <w:rFonts w:ascii="Times New Roman" w:hAnsi="Times New Roman" w:cs="Times New Roman"/>
        </w:rPr>
        <w:t xml:space="preserve">trade unions and </w:t>
      </w:r>
      <w:r w:rsidR="007D5AD1" w:rsidRPr="0068442A">
        <w:rPr>
          <w:rFonts w:ascii="Times New Roman" w:hAnsi="Times New Roman" w:cs="Times New Roman"/>
        </w:rPr>
        <w:lastRenderedPageBreak/>
        <w:t>journalists</w:t>
      </w:r>
      <w:r w:rsidR="00951521" w:rsidRPr="0068442A">
        <w:rPr>
          <w:rFonts w:ascii="Times New Roman" w:hAnsi="Times New Roman" w:cs="Times New Roman"/>
        </w:rPr>
        <w:t>,</w:t>
      </w:r>
      <w:r w:rsidR="007D5AD1" w:rsidRPr="0068442A">
        <w:rPr>
          <w:rFonts w:ascii="Times New Roman" w:hAnsi="Times New Roman" w:cs="Times New Roman"/>
        </w:rPr>
        <w:t xml:space="preserve"> as the key actors influencing policy-making and </w:t>
      </w:r>
      <w:r w:rsidR="00951521" w:rsidRPr="0068442A">
        <w:rPr>
          <w:rFonts w:ascii="Times New Roman" w:hAnsi="Times New Roman" w:cs="Times New Roman"/>
        </w:rPr>
        <w:t>deliberating</w:t>
      </w:r>
      <w:r w:rsidR="007D5AD1" w:rsidRPr="0068442A">
        <w:rPr>
          <w:rFonts w:ascii="Times New Roman" w:hAnsi="Times New Roman" w:cs="Times New Roman"/>
        </w:rPr>
        <w:t xml:space="preserve"> with decision-makers</w:t>
      </w:r>
      <w:r w:rsidR="0039393A" w:rsidRPr="0068442A">
        <w:rPr>
          <w:rFonts w:ascii="Times New Roman" w:hAnsi="Times New Roman" w:cs="Times New Roman"/>
        </w:rPr>
        <w:t xml:space="preserve"> to elicit the context and the rationale in making the reform</w:t>
      </w:r>
      <w:r w:rsidR="00951521" w:rsidRPr="0068442A">
        <w:rPr>
          <w:rFonts w:ascii="Times New Roman" w:hAnsi="Times New Roman" w:cs="Times New Roman"/>
        </w:rPr>
        <w:t>, as well as</w:t>
      </w:r>
      <w:r w:rsidR="0039393A" w:rsidRPr="0068442A">
        <w:rPr>
          <w:rFonts w:ascii="Times New Roman" w:hAnsi="Times New Roman" w:cs="Times New Roman"/>
        </w:rPr>
        <w:t xml:space="preserve"> </w:t>
      </w:r>
      <w:r w:rsidR="007D5AD1" w:rsidRPr="0068442A">
        <w:rPr>
          <w:rFonts w:ascii="Times New Roman" w:hAnsi="Times New Roman" w:cs="Times New Roman"/>
        </w:rPr>
        <w:t>their understanding of gender equality within this reform</w:t>
      </w:r>
      <w:r w:rsidR="009E5ED1" w:rsidRPr="0068442A">
        <w:rPr>
          <w:rFonts w:ascii="Times New Roman" w:hAnsi="Times New Roman" w:cs="Times New Roman"/>
        </w:rPr>
        <w:t>;</w:t>
      </w:r>
      <w:r w:rsidR="00684F94" w:rsidRPr="0068442A">
        <w:rPr>
          <w:rFonts w:ascii="Times New Roman" w:hAnsi="Times New Roman" w:cs="Times New Roman"/>
        </w:rPr>
        <w:t xml:space="preserve"> and </w:t>
      </w:r>
      <w:r w:rsidR="009E5ED1" w:rsidRPr="0068442A">
        <w:rPr>
          <w:rFonts w:ascii="Times New Roman" w:hAnsi="Times New Roman" w:cs="Times New Roman"/>
        </w:rPr>
        <w:t>ii) t</w:t>
      </w:r>
      <w:r w:rsidR="00F41F19" w:rsidRPr="0068442A">
        <w:rPr>
          <w:rFonts w:ascii="Times New Roman" w:hAnsi="Times New Roman" w:cs="Times New Roman"/>
        </w:rPr>
        <w:t>eachers</w:t>
      </w:r>
      <w:r w:rsidR="0036444C" w:rsidRPr="0068442A">
        <w:rPr>
          <w:rFonts w:ascii="Times New Roman" w:hAnsi="Times New Roman" w:cs="Times New Roman"/>
        </w:rPr>
        <w:t>,</w:t>
      </w:r>
      <w:r w:rsidR="00F41F19" w:rsidRPr="0068442A">
        <w:rPr>
          <w:rFonts w:ascii="Times New Roman" w:hAnsi="Times New Roman" w:cs="Times New Roman"/>
        </w:rPr>
        <w:t xml:space="preserve"> as the practitioners</w:t>
      </w:r>
      <w:r w:rsidR="0036444C" w:rsidRPr="0068442A">
        <w:rPr>
          <w:rFonts w:ascii="Times New Roman" w:hAnsi="Times New Roman" w:cs="Times New Roman"/>
        </w:rPr>
        <w:t xml:space="preserve"> and</w:t>
      </w:r>
      <w:r w:rsidR="00F41F19" w:rsidRPr="0068442A">
        <w:rPr>
          <w:rFonts w:ascii="Times New Roman" w:hAnsi="Times New Roman" w:cs="Times New Roman"/>
        </w:rPr>
        <w:t xml:space="preserve"> </w:t>
      </w:r>
      <w:r w:rsidR="009E5ED1" w:rsidRPr="0068442A">
        <w:rPr>
          <w:rFonts w:ascii="Times New Roman" w:hAnsi="Times New Roman" w:cs="Times New Roman"/>
        </w:rPr>
        <w:t>first</w:t>
      </w:r>
      <w:r w:rsidR="00951521" w:rsidRPr="0068442A">
        <w:rPr>
          <w:rFonts w:ascii="Times New Roman" w:hAnsi="Times New Roman" w:cs="Times New Roman"/>
        </w:rPr>
        <w:t>-</w:t>
      </w:r>
      <w:r w:rsidR="009E5ED1" w:rsidRPr="0068442A">
        <w:rPr>
          <w:rFonts w:ascii="Times New Roman" w:hAnsi="Times New Roman" w:cs="Times New Roman"/>
        </w:rPr>
        <w:t>hand observers of such reforms.</w:t>
      </w:r>
      <w:r w:rsidR="00F41F19" w:rsidRPr="0068442A">
        <w:rPr>
          <w:rFonts w:ascii="Times New Roman" w:hAnsi="Times New Roman" w:cs="Times New Roman"/>
        </w:rPr>
        <w:t xml:space="preserve"> The interviews</w:t>
      </w:r>
      <w:r w:rsidR="00574D22" w:rsidRPr="0068442A">
        <w:rPr>
          <w:rFonts w:ascii="Times New Roman" w:hAnsi="Times New Roman" w:cs="Times New Roman"/>
        </w:rPr>
        <w:t xml:space="preserve"> conducted with the</w:t>
      </w:r>
      <w:r w:rsidR="006A1DB8" w:rsidRPr="0068442A">
        <w:rPr>
          <w:rFonts w:ascii="Times New Roman" w:hAnsi="Times New Roman" w:cs="Times New Roman"/>
        </w:rPr>
        <w:t>se groups</w:t>
      </w:r>
      <w:r w:rsidR="00F41F19" w:rsidRPr="0068442A">
        <w:rPr>
          <w:rFonts w:ascii="Times New Roman" w:hAnsi="Times New Roman" w:cs="Times New Roman"/>
        </w:rPr>
        <w:t xml:space="preserve"> </w:t>
      </w:r>
      <w:r w:rsidR="006A1DB8" w:rsidRPr="0068442A">
        <w:rPr>
          <w:rFonts w:ascii="Times New Roman" w:hAnsi="Times New Roman" w:cs="Times New Roman"/>
        </w:rPr>
        <w:t>provided perspective</w:t>
      </w:r>
      <w:r w:rsidR="003C51F6" w:rsidRPr="0068442A">
        <w:rPr>
          <w:rFonts w:ascii="Times New Roman" w:hAnsi="Times New Roman" w:cs="Times New Roman"/>
        </w:rPr>
        <w:t>s</w:t>
      </w:r>
      <w:r w:rsidR="006A1DB8" w:rsidRPr="0068442A">
        <w:rPr>
          <w:rFonts w:ascii="Times New Roman" w:hAnsi="Times New Roman" w:cs="Times New Roman"/>
        </w:rPr>
        <w:t xml:space="preserve"> on</w:t>
      </w:r>
      <w:r w:rsidR="00F41F19" w:rsidRPr="0068442A">
        <w:rPr>
          <w:rFonts w:ascii="Times New Roman" w:hAnsi="Times New Roman" w:cs="Times New Roman"/>
        </w:rPr>
        <w:t xml:space="preserve"> the extent </w:t>
      </w:r>
      <w:r w:rsidR="006A1DB8" w:rsidRPr="0068442A">
        <w:rPr>
          <w:rFonts w:ascii="Times New Roman" w:hAnsi="Times New Roman" w:cs="Times New Roman"/>
        </w:rPr>
        <w:t xml:space="preserve">to which </w:t>
      </w:r>
      <w:r w:rsidR="005E634F">
        <w:rPr>
          <w:rFonts w:ascii="Times New Roman" w:hAnsi="Times New Roman" w:cs="Times New Roman"/>
        </w:rPr>
        <w:t xml:space="preserve">the </w:t>
      </w:r>
      <w:r w:rsidR="00F41F19" w:rsidRPr="0068442A">
        <w:rPr>
          <w:rFonts w:ascii="Times New Roman" w:hAnsi="Times New Roman" w:cs="Times New Roman"/>
        </w:rPr>
        <w:t xml:space="preserve">new reforms have implications for promoting gender equality and </w:t>
      </w:r>
      <w:r w:rsidR="006A1DB8" w:rsidRPr="0068442A">
        <w:rPr>
          <w:rFonts w:ascii="Times New Roman" w:hAnsi="Times New Roman" w:cs="Times New Roman"/>
        </w:rPr>
        <w:t>fostering</w:t>
      </w:r>
      <w:r w:rsidR="00684F94" w:rsidRPr="0068442A">
        <w:rPr>
          <w:rFonts w:ascii="Times New Roman" w:hAnsi="Times New Roman" w:cs="Times New Roman"/>
        </w:rPr>
        <w:t xml:space="preserve"> girls’ capabilities and freedoms. </w:t>
      </w:r>
    </w:p>
    <w:p w14:paraId="2B080029" w14:textId="0EBC2E53" w:rsidR="00A263E9" w:rsidRPr="0068442A" w:rsidRDefault="00A263E9" w:rsidP="00BF1E10">
      <w:pPr>
        <w:spacing w:line="360" w:lineRule="auto"/>
        <w:jc w:val="both"/>
        <w:rPr>
          <w:rFonts w:ascii="Times New Roman" w:hAnsi="Times New Roman" w:cs="Times New Roman"/>
          <w:i/>
        </w:rPr>
      </w:pPr>
      <w:r w:rsidRPr="0068442A">
        <w:rPr>
          <w:rFonts w:ascii="Times New Roman" w:hAnsi="Times New Roman" w:cs="Times New Roman"/>
          <w:b/>
          <w:i/>
        </w:rPr>
        <w:t xml:space="preserve">Education </w:t>
      </w:r>
      <w:r w:rsidR="00523F78" w:rsidRPr="0068442A">
        <w:rPr>
          <w:rFonts w:ascii="Times New Roman" w:hAnsi="Times New Roman" w:cs="Times New Roman"/>
          <w:b/>
          <w:i/>
        </w:rPr>
        <w:t xml:space="preserve">reforms in Turkey: An </w:t>
      </w:r>
      <w:r w:rsidR="00A77397" w:rsidRPr="0068442A">
        <w:rPr>
          <w:rFonts w:ascii="Times New Roman" w:hAnsi="Times New Roman" w:cs="Times New Roman"/>
          <w:b/>
          <w:i/>
        </w:rPr>
        <w:t>overview</w:t>
      </w:r>
    </w:p>
    <w:p w14:paraId="130BDE1A" w14:textId="3C2862F2" w:rsidR="00A263E9" w:rsidRPr="0068442A" w:rsidRDefault="00CE7076" w:rsidP="00EA77E6">
      <w:pPr>
        <w:spacing w:line="360" w:lineRule="auto"/>
        <w:jc w:val="both"/>
        <w:rPr>
          <w:rFonts w:ascii="Times New Roman" w:hAnsi="Times New Roman" w:cs="Times New Roman"/>
          <w:color w:val="1A1A1A"/>
        </w:rPr>
      </w:pPr>
      <w:r w:rsidRPr="0068442A">
        <w:rPr>
          <w:rFonts w:ascii="Times New Roman" w:hAnsi="Times New Roman" w:cs="Times New Roman"/>
        </w:rPr>
        <w:t>The first major reform</w:t>
      </w:r>
      <w:r w:rsidR="00267089" w:rsidRPr="0068442A">
        <w:rPr>
          <w:rFonts w:ascii="Times New Roman" w:hAnsi="Times New Roman" w:cs="Times New Roman"/>
        </w:rPr>
        <w:t>, called “the Basic Education Act”,</w:t>
      </w:r>
      <w:r w:rsidRPr="0068442A">
        <w:rPr>
          <w:rFonts w:ascii="Times New Roman" w:hAnsi="Times New Roman" w:cs="Times New Roman"/>
        </w:rPr>
        <w:t xml:space="preserve"> was passed in 1997</w:t>
      </w:r>
      <w:r w:rsidR="007428DF" w:rsidRPr="0068442A">
        <w:rPr>
          <w:rFonts w:ascii="Times New Roman" w:hAnsi="Times New Roman" w:cs="Times New Roman"/>
        </w:rPr>
        <w:t xml:space="preserve"> with the aim of expanding</w:t>
      </w:r>
      <w:r w:rsidR="00A263E9" w:rsidRPr="0068442A">
        <w:rPr>
          <w:rFonts w:ascii="Times New Roman" w:hAnsi="Times New Roman" w:cs="Times New Roman"/>
        </w:rPr>
        <w:t xml:space="preserve"> </w:t>
      </w:r>
      <w:r w:rsidR="00A263E9" w:rsidRPr="0068442A">
        <w:rPr>
          <w:rFonts w:ascii="Times New Roman" w:hAnsi="Times New Roman" w:cs="Times New Roman"/>
          <w:color w:val="1A1A1A"/>
        </w:rPr>
        <w:t xml:space="preserve">schooling opportunities </w:t>
      </w:r>
      <w:r w:rsidR="007428DF" w:rsidRPr="0068442A">
        <w:rPr>
          <w:rFonts w:ascii="Times New Roman" w:hAnsi="Times New Roman" w:cs="Times New Roman"/>
          <w:color w:val="1A1A1A"/>
        </w:rPr>
        <w:t>for all children and increasing</w:t>
      </w:r>
      <w:r w:rsidR="00A263E9" w:rsidRPr="0068442A">
        <w:rPr>
          <w:rFonts w:ascii="Times New Roman" w:hAnsi="Times New Roman" w:cs="Times New Roman"/>
          <w:color w:val="1A1A1A"/>
        </w:rPr>
        <w:t xml:space="preserve"> girls’ schooling, especially in Eastern Turkey</w:t>
      </w:r>
      <w:r w:rsidR="00267089" w:rsidRPr="0068442A">
        <w:rPr>
          <w:rFonts w:ascii="Times New Roman" w:hAnsi="Times New Roman" w:cs="Times New Roman"/>
          <w:color w:val="1A1A1A"/>
        </w:rPr>
        <w:t>; it</w:t>
      </w:r>
      <w:r w:rsidR="00A263E9" w:rsidRPr="0068442A">
        <w:rPr>
          <w:rFonts w:ascii="Times New Roman" w:hAnsi="Times New Roman" w:cs="Times New Roman"/>
          <w:color w:val="1A1A1A"/>
        </w:rPr>
        <w:t xml:space="preserve"> was also linked to one of Turkey’s largest </w:t>
      </w:r>
      <w:r w:rsidR="00267089" w:rsidRPr="0068442A">
        <w:rPr>
          <w:rFonts w:ascii="Times New Roman" w:hAnsi="Times New Roman" w:cs="Times New Roman"/>
          <w:color w:val="1A1A1A"/>
        </w:rPr>
        <w:t xml:space="preserve">poverty </w:t>
      </w:r>
      <w:r w:rsidR="00A263E9" w:rsidRPr="0068442A">
        <w:rPr>
          <w:rFonts w:ascii="Times New Roman" w:hAnsi="Times New Roman" w:cs="Times New Roman"/>
          <w:color w:val="1A1A1A"/>
        </w:rPr>
        <w:t>improve</w:t>
      </w:r>
      <w:r w:rsidR="00767F36" w:rsidRPr="0068442A">
        <w:rPr>
          <w:rFonts w:ascii="Times New Roman" w:hAnsi="Times New Roman" w:cs="Times New Roman"/>
          <w:color w:val="1A1A1A"/>
        </w:rPr>
        <w:t>ment</w:t>
      </w:r>
      <w:r w:rsidR="00BF1E10" w:rsidRPr="0068442A">
        <w:rPr>
          <w:rFonts w:ascii="Times New Roman" w:hAnsi="Times New Roman" w:cs="Times New Roman"/>
          <w:color w:val="1A1A1A"/>
        </w:rPr>
        <w:t xml:space="preserve"> </w:t>
      </w:r>
      <w:r w:rsidR="003F5D0F" w:rsidRPr="0068442A">
        <w:rPr>
          <w:rFonts w:ascii="Times New Roman" w:hAnsi="Times New Roman" w:cs="Times New Roman"/>
          <w:color w:val="1A1A1A"/>
        </w:rPr>
        <w:t>programmes (Dulger</w:t>
      </w:r>
      <w:r w:rsidR="002450F7" w:rsidRPr="0068442A">
        <w:rPr>
          <w:rFonts w:ascii="Times New Roman" w:hAnsi="Times New Roman" w:cs="Times New Roman"/>
          <w:color w:val="1A1A1A"/>
        </w:rPr>
        <w:t>, 2004</w:t>
      </w:r>
      <w:r w:rsidR="00A263E9" w:rsidRPr="0068442A">
        <w:rPr>
          <w:rFonts w:ascii="Times New Roman" w:hAnsi="Times New Roman" w:cs="Times New Roman"/>
          <w:color w:val="1A1A1A"/>
        </w:rPr>
        <w:t>). The programme introduced social policies to advance the conditions of the underprivileged</w:t>
      </w:r>
      <w:r w:rsidR="006A5691" w:rsidRPr="0068442A">
        <w:rPr>
          <w:rFonts w:ascii="Times New Roman" w:hAnsi="Times New Roman" w:cs="Times New Roman"/>
          <w:color w:val="1A1A1A"/>
        </w:rPr>
        <w:t>,</w:t>
      </w:r>
      <w:r w:rsidR="00A263E9" w:rsidRPr="0068442A">
        <w:rPr>
          <w:rFonts w:ascii="Times New Roman" w:hAnsi="Times New Roman" w:cs="Times New Roman"/>
          <w:color w:val="1A1A1A"/>
        </w:rPr>
        <w:t xml:space="preserve"> such as providing free education and health services for the poor</w:t>
      </w:r>
      <w:r w:rsidR="007428DF" w:rsidRPr="0068442A">
        <w:rPr>
          <w:rFonts w:ascii="Times New Roman" w:hAnsi="Times New Roman" w:cs="Times New Roman"/>
          <w:color w:val="1A1A1A"/>
        </w:rPr>
        <w:t xml:space="preserve"> and </w:t>
      </w:r>
      <w:r w:rsidR="00A263E9" w:rsidRPr="0068442A">
        <w:rPr>
          <w:rFonts w:ascii="Times New Roman" w:hAnsi="Times New Roman" w:cs="Times New Roman"/>
          <w:color w:val="1A1A1A"/>
        </w:rPr>
        <w:t>offering free meals and transportation to</w:t>
      </w:r>
      <w:r w:rsidR="00A263E9" w:rsidRPr="0068442A">
        <w:rPr>
          <w:rFonts w:ascii="Times New Roman" w:hAnsi="Times New Roman" w:cs="Times New Roman"/>
        </w:rPr>
        <w:t xml:space="preserve"> </w:t>
      </w:r>
      <w:r w:rsidR="00A263E9" w:rsidRPr="0068442A">
        <w:rPr>
          <w:rFonts w:ascii="Times New Roman" w:hAnsi="Times New Roman" w:cs="Times New Roman"/>
          <w:color w:val="1A1A1A"/>
        </w:rPr>
        <w:t xml:space="preserve">students coming from low-income families to encourage </w:t>
      </w:r>
      <w:r w:rsidR="00F56AEB" w:rsidRPr="0068442A">
        <w:rPr>
          <w:rFonts w:ascii="Times New Roman" w:hAnsi="Times New Roman" w:cs="Times New Roman"/>
          <w:color w:val="1A1A1A"/>
        </w:rPr>
        <w:t xml:space="preserve">the </w:t>
      </w:r>
      <w:r w:rsidR="00A263E9" w:rsidRPr="0068442A">
        <w:rPr>
          <w:rFonts w:ascii="Times New Roman" w:hAnsi="Times New Roman" w:cs="Times New Roman"/>
          <w:color w:val="1A1A1A"/>
        </w:rPr>
        <w:t xml:space="preserve">schooling of girls and boys (Engin-Demir </w:t>
      </w:r>
      <w:r w:rsidR="00950B95" w:rsidRPr="0068442A">
        <w:rPr>
          <w:rFonts w:ascii="Times New Roman" w:hAnsi="Times New Roman" w:cs="Times New Roman"/>
          <w:color w:val="1A1A1A"/>
        </w:rPr>
        <w:t>&amp;</w:t>
      </w:r>
      <w:r w:rsidR="00127847" w:rsidRPr="0068442A">
        <w:rPr>
          <w:rFonts w:ascii="Times New Roman" w:hAnsi="Times New Roman" w:cs="Times New Roman"/>
          <w:color w:val="1A1A1A"/>
        </w:rPr>
        <w:t xml:space="preserve"> </w:t>
      </w:r>
      <w:r w:rsidR="003F5D0F" w:rsidRPr="0068442A">
        <w:rPr>
          <w:rFonts w:ascii="Times New Roman" w:hAnsi="Times New Roman" w:cs="Times New Roman"/>
          <w:color w:val="1A1A1A"/>
        </w:rPr>
        <w:t>Cobanoglu</w:t>
      </w:r>
      <w:r w:rsidR="002450F7" w:rsidRPr="0068442A">
        <w:rPr>
          <w:rFonts w:ascii="Times New Roman" w:hAnsi="Times New Roman" w:cs="Times New Roman"/>
          <w:color w:val="1A1A1A"/>
        </w:rPr>
        <w:t xml:space="preserve">, </w:t>
      </w:r>
      <w:r w:rsidR="00A263E9" w:rsidRPr="0068442A">
        <w:rPr>
          <w:rFonts w:ascii="Times New Roman" w:hAnsi="Times New Roman" w:cs="Times New Roman"/>
          <w:color w:val="1A1A1A"/>
        </w:rPr>
        <w:t>2012). The World Bank guided this programme and provided financial support from 1997 to 2007</w:t>
      </w:r>
      <w:r w:rsidR="007428DF" w:rsidRPr="0068442A">
        <w:rPr>
          <w:rFonts w:ascii="Times New Roman" w:hAnsi="Times New Roman" w:cs="Times New Roman"/>
          <w:color w:val="1A1A1A"/>
        </w:rPr>
        <w:t xml:space="preserve"> to support</w:t>
      </w:r>
      <w:r w:rsidR="00A263E9" w:rsidRPr="0068442A">
        <w:rPr>
          <w:rFonts w:ascii="Times New Roman" w:hAnsi="Times New Roman" w:cs="Times New Roman"/>
          <w:color w:val="1A1A1A"/>
        </w:rPr>
        <w:t xml:space="preserve"> the country’s infrastructural and financial arrangements</w:t>
      </w:r>
      <w:r w:rsidR="00A263E9" w:rsidRPr="0068442A">
        <w:rPr>
          <w:rFonts w:ascii="Times New Roman" w:hAnsi="Times New Roman" w:cs="Times New Roman"/>
        </w:rPr>
        <w:t xml:space="preserve"> </w:t>
      </w:r>
      <w:r w:rsidR="003F5D0F" w:rsidRPr="0068442A">
        <w:rPr>
          <w:rFonts w:ascii="Times New Roman" w:hAnsi="Times New Roman" w:cs="Times New Roman"/>
          <w:color w:val="1A1A1A"/>
        </w:rPr>
        <w:t>(McClure</w:t>
      </w:r>
      <w:r w:rsidR="002450F7" w:rsidRPr="0068442A">
        <w:rPr>
          <w:rFonts w:ascii="Times New Roman" w:hAnsi="Times New Roman" w:cs="Times New Roman"/>
          <w:color w:val="1A1A1A"/>
        </w:rPr>
        <w:t xml:space="preserve">, </w:t>
      </w:r>
      <w:r w:rsidR="00A263E9" w:rsidRPr="0068442A">
        <w:rPr>
          <w:rFonts w:ascii="Times New Roman" w:hAnsi="Times New Roman" w:cs="Times New Roman"/>
          <w:color w:val="1A1A1A"/>
        </w:rPr>
        <w:t>2014).</w:t>
      </w:r>
      <w:r w:rsidR="0066109E" w:rsidRPr="0068442A">
        <w:rPr>
          <w:rFonts w:ascii="Times New Roman" w:hAnsi="Times New Roman" w:cs="Times New Roman"/>
          <w:color w:val="1A1A1A"/>
        </w:rPr>
        <w:t xml:space="preserve"> </w:t>
      </w:r>
      <w:r w:rsidR="00B728E6" w:rsidRPr="0068442A">
        <w:rPr>
          <w:rFonts w:ascii="Times New Roman" w:hAnsi="Times New Roman" w:cs="Times New Roman"/>
          <w:color w:val="1A1A1A"/>
        </w:rPr>
        <w:t>Following 1997</w:t>
      </w:r>
      <w:r w:rsidR="00B03453">
        <w:rPr>
          <w:rFonts w:ascii="Times New Roman" w:hAnsi="Times New Roman" w:cs="Times New Roman"/>
          <w:color w:val="1A1A1A"/>
        </w:rPr>
        <w:t>’s</w:t>
      </w:r>
      <w:r w:rsidR="00B728E6" w:rsidRPr="0068442A">
        <w:rPr>
          <w:rFonts w:ascii="Times New Roman" w:hAnsi="Times New Roman" w:cs="Times New Roman"/>
          <w:color w:val="1A1A1A"/>
        </w:rPr>
        <w:t xml:space="preserve"> Basic Education Bill, </w:t>
      </w:r>
      <w:r w:rsidR="00B03453" w:rsidRPr="0068442A">
        <w:rPr>
          <w:rFonts w:ascii="Times New Roman" w:hAnsi="Times New Roman" w:cs="Times New Roman"/>
          <w:color w:val="1A1A1A"/>
        </w:rPr>
        <w:t xml:space="preserve">the </w:t>
      </w:r>
      <w:r w:rsidR="00B03453" w:rsidRPr="0068442A">
        <w:rPr>
          <w:rFonts w:ascii="Times New Roman" w:hAnsi="Times New Roman" w:cs="Times New Roman"/>
        </w:rPr>
        <w:t>4+ reform</w:t>
      </w:r>
      <w:r w:rsidR="00B03453" w:rsidRPr="0068442A">
        <w:rPr>
          <w:rFonts w:ascii="Times New Roman" w:hAnsi="Times New Roman" w:cs="Times New Roman"/>
          <w:color w:val="1A1A1A"/>
        </w:rPr>
        <w:t xml:space="preserve"> was introduced in 2012</w:t>
      </w:r>
      <w:r w:rsidR="00B03453">
        <w:rPr>
          <w:rFonts w:ascii="Times New Roman" w:hAnsi="Times New Roman" w:cs="Times New Roman"/>
          <w:color w:val="1A1A1A"/>
        </w:rPr>
        <w:t xml:space="preserve">, representing </w:t>
      </w:r>
      <w:r w:rsidR="00B728E6" w:rsidRPr="0068442A">
        <w:rPr>
          <w:rFonts w:ascii="Times New Roman" w:hAnsi="Times New Roman" w:cs="Times New Roman"/>
          <w:color w:val="1A1A1A"/>
        </w:rPr>
        <w:t>the most c</w:t>
      </w:r>
      <w:r w:rsidR="00AA16B7" w:rsidRPr="0068442A">
        <w:rPr>
          <w:rFonts w:ascii="Times New Roman" w:hAnsi="Times New Roman" w:cs="Times New Roman"/>
          <w:color w:val="1A1A1A"/>
        </w:rPr>
        <w:t xml:space="preserve">omprehensive educational reform </w:t>
      </w:r>
      <w:r w:rsidR="00B728E6" w:rsidRPr="0068442A">
        <w:rPr>
          <w:rFonts w:ascii="Times New Roman" w:hAnsi="Times New Roman" w:cs="Times New Roman"/>
          <w:color w:val="1A1A1A"/>
        </w:rPr>
        <w:t xml:space="preserve">Turkey has </w:t>
      </w:r>
      <w:r w:rsidR="00AB3006" w:rsidRPr="0068442A">
        <w:rPr>
          <w:rFonts w:ascii="Times New Roman" w:hAnsi="Times New Roman" w:cs="Times New Roman"/>
          <w:color w:val="1A1A1A"/>
        </w:rPr>
        <w:t xml:space="preserve">ever </w:t>
      </w:r>
      <w:r w:rsidR="00B728E6" w:rsidRPr="0068442A">
        <w:rPr>
          <w:rFonts w:ascii="Times New Roman" w:hAnsi="Times New Roman" w:cs="Times New Roman"/>
          <w:color w:val="1A1A1A"/>
        </w:rPr>
        <w:t>undergone</w:t>
      </w:r>
      <w:r w:rsidR="001E30DE">
        <w:rPr>
          <w:rFonts w:ascii="Times New Roman" w:hAnsi="Times New Roman" w:cs="Times New Roman"/>
        </w:rPr>
        <w:t xml:space="preserve">, being </w:t>
      </w:r>
      <w:r w:rsidR="00B03453">
        <w:rPr>
          <w:rFonts w:ascii="Times New Roman" w:hAnsi="Times New Roman" w:cs="Times New Roman"/>
        </w:rPr>
        <w:t xml:space="preserve">much more wide-reaching than any previous changes, </w:t>
      </w:r>
      <w:r w:rsidR="00B728E6" w:rsidRPr="0068442A">
        <w:rPr>
          <w:rFonts w:ascii="Times New Roman" w:hAnsi="Times New Roman" w:cs="Times New Roman"/>
        </w:rPr>
        <w:t xml:space="preserve">such as </w:t>
      </w:r>
      <w:r w:rsidR="006477FE" w:rsidRPr="0068442A">
        <w:rPr>
          <w:rFonts w:ascii="Times New Roman" w:hAnsi="Times New Roman" w:cs="Times New Roman"/>
        </w:rPr>
        <w:t xml:space="preserve">a </w:t>
      </w:r>
      <w:r w:rsidR="00B728E6" w:rsidRPr="0068442A">
        <w:rPr>
          <w:rFonts w:ascii="Times New Roman" w:hAnsi="Times New Roman" w:cs="Times New Roman"/>
        </w:rPr>
        <w:t>major revision of</w:t>
      </w:r>
      <w:r w:rsidR="006477FE" w:rsidRPr="0068442A">
        <w:rPr>
          <w:rFonts w:ascii="Times New Roman" w:hAnsi="Times New Roman" w:cs="Times New Roman"/>
        </w:rPr>
        <w:t xml:space="preserve"> the</w:t>
      </w:r>
      <w:r w:rsidR="00B728E6" w:rsidRPr="0068442A">
        <w:rPr>
          <w:rFonts w:ascii="Times New Roman" w:hAnsi="Times New Roman" w:cs="Times New Roman"/>
        </w:rPr>
        <w:t xml:space="preserve"> </w:t>
      </w:r>
      <w:r w:rsidR="00A263E9" w:rsidRPr="0068442A">
        <w:rPr>
          <w:rFonts w:ascii="Times New Roman" w:hAnsi="Times New Roman" w:cs="Times New Roman"/>
        </w:rPr>
        <w:t xml:space="preserve">primary education curriculum and textbooks </w:t>
      </w:r>
      <w:r w:rsidR="006477FE" w:rsidRPr="0068442A">
        <w:rPr>
          <w:rFonts w:ascii="Times New Roman" w:hAnsi="Times New Roman" w:cs="Times New Roman"/>
        </w:rPr>
        <w:t xml:space="preserve">in 2004, </w:t>
      </w:r>
      <w:r w:rsidR="00B728E6" w:rsidRPr="0068442A">
        <w:rPr>
          <w:rFonts w:ascii="Times New Roman" w:hAnsi="Times New Roman" w:cs="Times New Roman"/>
        </w:rPr>
        <w:t xml:space="preserve">and </w:t>
      </w:r>
      <w:r w:rsidR="006477FE" w:rsidRPr="0068442A">
        <w:rPr>
          <w:rFonts w:ascii="Times New Roman" w:hAnsi="Times New Roman" w:cs="Times New Roman"/>
        </w:rPr>
        <w:t xml:space="preserve">the </w:t>
      </w:r>
      <w:r w:rsidR="00B728E6" w:rsidRPr="0068442A">
        <w:rPr>
          <w:rFonts w:ascii="Times New Roman" w:hAnsi="Times New Roman" w:cs="Times New Roman"/>
        </w:rPr>
        <w:t xml:space="preserve">adoption of </w:t>
      </w:r>
      <w:r w:rsidR="001060F7" w:rsidRPr="0068442A">
        <w:rPr>
          <w:rFonts w:ascii="Times New Roman" w:hAnsi="Times New Roman" w:cs="Times New Roman"/>
        </w:rPr>
        <w:t xml:space="preserve">a </w:t>
      </w:r>
      <w:r w:rsidR="00B728E6" w:rsidRPr="0068442A">
        <w:rPr>
          <w:rFonts w:ascii="Times New Roman" w:hAnsi="Times New Roman" w:cs="Times New Roman"/>
        </w:rPr>
        <w:t>more student</w:t>
      </w:r>
      <w:r w:rsidR="001060F7" w:rsidRPr="0068442A">
        <w:rPr>
          <w:rFonts w:ascii="Times New Roman" w:hAnsi="Times New Roman" w:cs="Times New Roman"/>
        </w:rPr>
        <w:t>-</w:t>
      </w:r>
      <w:r w:rsidR="00EA77E6" w:rsidRPr="0068442A">
        <w:rPr>
          <w:rFonts w:ascii="Times New Roman" w:hAnsi="Times New Roman" w:cs="Times New Roman"/>
        </w:rPr>
        <w:t>centred</w:t>
      </w:r>
      <w:r w:rsidR="00B728E6" w:rsidRPr="0068442A">
        <w:rPr>
          <w:rFonts w:ascii="Times New Roman" w:hAnsi="Times New Roman" w:cs="Times New Roman"/>
        </w:rPr>
        <w:t xml:space="preserve"> primary education curriculum in 2005 </w:t>
      </w:r>
      <w:r w:rsidR="003F5D0F" w:rsidRPr="0068442A">
        <w:rPr>
          <w:rFonts w:ascii="Times New Roman" w:hAnsi="Times New Roman" w:cs="Times New Roman"/>
        </w:rPr>
        <w:t>(Özmen</w:t>
      </w:r>
      <w:r w:rsidR="002450F7" w:rsidRPr="0068442A">
        <w:rPr>
          <w:rFonts w:ascii="Times New Roman" w:hAnsi="Times New Roman" w:cs="Times New Roman"/>
        </w:rPr>
        <w:t xml:space="preserve">, </w:t>
      </w:r>
      <w:r w:rsidR="00A263E9" w:rsidRPr="0068442A">
        <w:rPr>
          <w:rFonts w:ascii="Times New Roman" w:hAnsi="Times New Roman" w:cs="Times New Roman"/>
        </w:rPr>
        <w:t>2012).</w:t>
      </w:r>
      <w:r w:rsidR="00B728E6" w:rsidRPr="0068442A">
        <w:rPr>
          <w:rFonts w:ascii="Times New Roman" w:hAnsi="Times New Roman" w:cs="Times New Roman"/>
          <w:i/>
        </w:rPr>
        <w:t xml:space="preserve"> </w:t>
      </w:r>
    </w:p>
    <w:p w14:paraId="24A9BCD4" w14:textId="08F68C84" w:rsidR="00A263E9" w:rsidRPr="0068442A" w:rsidRDefault="0045677F" w:rsidP="004E4214">
      <w:pPr>
        <w:spacing w:line="360" w:lineRule="auto"/>
        <w:ind w:firstLine="720"/>
        <w:jc w:val="both"/>
        <w:rPr>
          <w:rFonts w:ascii="Times New Roman" w:hAnsi="Times New Roman" w:cs="Times New Roman"/>
        </w:rPr>
      </w:pPr>
      <w:r w:rsidRPr="0068442A">
        <w:rPr>
          <w:rFonts w:ascii="Times New Roman" w:hAnsi="Times New Roman" w:cs="Times New Roman"/>
        </w:rPr>
        <w:t xml:space="preserve">It is important to note that the Turkish education system is highly centralised and all major policy decisions are made by the </w:t>
      </w:r>
      <w:r w:rsidR="003F5D0F" w:rsidRPr="0068442A">
        <w:rPr>
          <w:rFonts w:ascii="Times New Roman" w:hAnsi="Times New Roman" w:cs="Times New Roman"/>
        </w:rPr>
        <w:t>M</w:t>
      </w:r>
      <w:r w:rsidR="008A7587" w:rsidRPr="0068442A">
        <w:rPr>
          <w:rFonts w:ascii="Times New Roman" w:hAnsi="Times New Roman" w:cs="Times New Roman"/>
        </w:rPr>
        <w:t>o</w:t>
      </w:r>
      <w:r w:rsidR="003F5D0F" w:rsidRPr="0068442A">
        <w:rPr>
          <w:rFonts w:ascii="Times New Roman" w:hAnsi="Times New Roman" w:cs="Times New Roman"/>
        </w:rPr>
        <w:t>NE (Nohl</w:t>
      </w:r>
      <w:r w:rsidR="002450F7" w:rsidRPr="0068442A">
        <w:rPr>
          <w:rFonts w:ascii="Times New Roman" w:hAnsi="Times New Roman" w:cs="Times New Roman"/>
        </w:rPr>
        <w:t xml:space="preserve">, </w:t>
      </w:r>
      <w:r w:rsidR="007428DF" w:rsidRPr="0068442A">
        <w:rPr>
          <w:rFonts w:ascii="Times New Roman" w:hAnsi="Times New Roman" w:cs="Times New Roman"/>
        </w:rPr>
        <w:t xml:space="preserve">2008), thus </w:t>
      </w:r>
      <w:r w:rsidRPr="0068442A">
        <w:rPr>
          <w:rFonts w:ascii="Times New Roman" w:hAnsi="Times New Roman" w:cs="Times New Roman"/>
        </w:rPr>
        <w:t>lead</w:t>
      </w:r>
      <w:r w:rsidR="001E56FF">
        <w:rPr>
          <w:rFonts w:ascii="Times New Roman" w:hAnsi="Times New Roman" w:cs="Times New Roman"/>
        </w:rPr>
        <w:t>ing</w:t>
      </w:r>
      <w:r w:rsidRPr="0068442A">
        <w:rPr>
          <w:rFonts w:ascii="Times New Roman" w:hAnsi="Times New Roman" w:cs="Times New Roman"/>
        </w:rPr>
        <w:t xml:space="preserve"> to </w:t>
      </w:r>
      <w:r w:rsidR="00477D6E" w:rsidRPr="0068442A">
        <w:rPr>
          <w:rFonts w:ascii="Times New Roman" w:hAnsi="Times New Roman" w:cs="Times New Roman"/>
        </w:rPr>
        <w:t xml:space="preserve">a </w:t>
      </w:r>
      <w:r w:rsidRPr="0068442A">
        <w:rPr>
          <w:rFonts w:ascii="Times New Roman" w:hAnsi="Times New Roman" w:cs="Times New Roman"/>
        </w:rPr>
        <w:t xml:space="preserve">top-down approach in educational policy-making </w:t>
      </w:r>
      <w:r w:rsidR="00931FF2">
        <w:rPr>
          <w:rFonts w:ascii="Times New Roman" w:hAnsi="Times New Roman" w:cs="Times New Roman"/>
        </w:rPr>
        <w:t>that</w:t>
      </w:r>
      <w:r w:rsidR="001E56FF" w:rsidRPr="0068442A">
        <w:rPr>
          <w:rFonts w:ascii="Times New Roman" w:hAnsi="Times New Roman" w:cs="Times New Roman"/>
        </w:rPr>
        <w:t xml:space="preserve"> </w:t>
      </w:r>
      <w:r w:rsidRPr="0068442A">
        <w:rPr>
          <w:rFonts w:ascii="Times New Roman" w:hAnsi="Times New Roman" w:cs="Times New Roman"/>
        </w:rPr>
        <w:t>do</w:t>
      </w:r>
      <w:r w:rsidR="00477D6E" w:rsidRPr="0068442A">
        <w:rPr>
          <w:rFonts w:ascii="Times New Roman" w:hAnsi="Times New Roman" w:cs="Times New Roman"/>
        </w:rPr>
        <w:t>es</w:t>
      </w:r>
      <w:r w:rsidRPr="0068442A">
        <w:rPr>
          <w:rFonts w:ascii="Times New Roman" w:hAnsi="Times New Roman" w:cs="Times New Roman"/>
        </w:rPr>
        <w:t xml:space="preserve"> not leave room for schools or stakeholders to have autonomy and power in</w:t>
      </w:r>
      <w:r w:rsidR="001022AE" w:rsidRPr="0068442A">
        <w:rPr>
          <w:rFonts w:ascii="Times New Roman" w:hAnsi="Times New Roman" w:cs="Times New Roman"/>
        </w:rPr>
        <w:t xml:space="preserve"> </w:t>
      </w:r>
      <w:r w:rsidRPr="0068442A">
        <w:rPr>
          <w:rFonts w:ascii="Times New Roman" w:hAnsi="Times New Roman" w:cs="Times New Roman"/>
        </w:rPr>
        <w:t>de</w:t>
      </w:r>
      <w:r w:rsidR="003F5D0F" w:rsidRPr="0068442A">
        <w:rPr>
          <w:rFonts w:ascii="Times New Roman" w:hAnsi="Times New Roman" w:cs="Times New Roman"/>
        </w:rPr>
        <w:t>cision</w:t>
      </w:r>
      <w:r w:rsidR="001022AE" w:rsidRPr="0068442A">
        <w:rPr>
          <w:rFonts w:ascii="Times New Roman" w:hAnsi="Times New Roman" w:cs="Times New Roman"/>
        </w:rPr>
        <w:t>-</w:t>
      </w:r>
      <w:r w:rsidR="003F5D0F" w:rsidRPr="0068442A">
        <w:rPr>
          <w:rFonts w:ascii="Times New Roman" w:hAnsi="Times New Roman" w:cs="Times New Roman"/>
        </w:rPr>
        <w:t>making (</w:t>
      </w:r>
      <w:r w:rsidR="00155852" w:rsidRPr="0068442A">
        <w:rPr>
          <w:rFonts w:ascii="Times New Roman" w:hAnsi="Times New Roman" w:cs="Times New Roman"/>
          <w:color w:val="333333"/>
        </w:rPr>
        <w:t>Karlidag-Dennis, 2017</w:t>
      </w:r>
      <w:r w:rsidRPr="0068442A">
        <w:rPr>
          <w:rFonts w:ascii="Times New Roman" w:hAnsi="Times New Roman" w:cs="Times New Roman"/>
        </w:rPr>
        <w:t xml:space="preserve">; </w:t>
      </w:r>
      <w:r w:rsidR="00950B95" w:rsidRPr="0068442A">
        <w:rPr>
          <w:rFonts w:ascii="Times New Roman" w:hAnsi="Times New Roman" w:cs="Times New Roman"/>
        </w:rPr>
        <w:t xml:space="preserve">Kanci &amp; </w:t>
      </w:r>
      <w:r w:rsidR="003F5D0F" w:rsidRPr="0068442A">
        <w:rPr>
          <w:rFonts w:ascii="Times New Roman" w:hAnsi="Times New Roman" w:cs="Times New Roman"/>
        </w:rPr>
        <w:t>Gül-</w:t>
      </w:r>
      <w:r w:rsidR="002450F7" w:rsidRPr="0068442A">
        <w:rPr>
          <w:rFonts w:ascii="Times New Roman" w:hAnsi="Times New Roman" w:cs="Times New Roman"/>
        </w:rPr>
        <w:t xml:space="preserve">Altinay, </w:t>
      </w:r>
      <w:r w:rsidR="007428DF" w:rsidRPr="0068442A">
        <w:rPr>
          <w:rFonts w:ascii="Times New Roman" w:hAnsi="Times New Roman" w:cs="Times New Roman"/>
        </w:rPr>
        <w:t>2007). As</w:t>
      </w:r>
      <w:r w:rsidRPr="0068442A">
        <w:rPr>
          <w:rFonts w:ascii="Times New Roman" w:hAnsi="Times New Roman" w:cs="Times New Roman"/>
        </w:rPr>
        <w:t xml:space="preserve"> </w:t>
      </w:r>
      <w:r w:rsidR="00155852" w:rsidRPr="0068442A">
        <w:rPr>
          <w:rFonts w:ascii="Times New Roman" w:hAnsi="Times New Roman" w:cs="Times New Roman"/>
          <w:color w:val="333333"/>
        </w:rPr>
        <w:t xml:space="preserve">Karlidag-Dennis </w:t>
      </w:r>
      <w:r w:rsidR="00F60433" w:rsidRPr="0068442A">
        <w:rPr>
          <w:rFonts w:ascii="Times New Roman" w:hAnsi="Times New Roman" w:cs="Times New Roman"/>
          <w:color w:val="333333"/>
        </w:rPr>
        <w:t>(</w:t>
      </w:r>
      <w:r w:rsidR="00155852" w:rsidRPr="0068442A">
        <w:rPr>
          <w:rFonts w:ascii="Times New Roman" w:hAnsi="Times New Roman" w:cs="Times New Roman"/>
          <w:color w:val="333333"/>
        </w:rPr>
        <w:t>2017</w:t>
      </w:r>
      <w:r w:rsidR="00F60433" w:rsidRPr="0068442A">
        <w:rPr>
          <w:rFonts w:ascii="Times New Roman" w:hAnsi="Times New Roman" w:cs="Times New Roman"/>
        </w:rPr>
        <w:t>)</w:t>
      </w:r>
      <w:r w:rsidR="00D31E3F">
        <w:rPr>
          <w:rFonts w:ascii="Times New Roman" w:hAnsi="Times New Roman" w:cs="Times New Roman"/>
        </w:rPr>
        <w:t xml:space="preserve"> argues</w:t>
      </w:r>
      <w:r w:rsidR="007428DF" w:rsidRPr="0068442A">
        <w:rPr>
          <w:rFonts w:ascii="Times New Roman" w:hAnsi="Times New Roman" w:cs="Times New Roman"/>
        </w:rPr>
        <w:t>,</w:t>
      </w:r>
      <w:r w:rsidRPr="0068442A">
        <w:rPr>
          <w:rFonts w:ascii="Times New Roman" w:hAnsi="Times New Roman" w:cs="Times New Roman"/>
        </w:rPr>
        <w:t xml:space="preserve"> t</w:t>
      </w:r>
      <w:r w:rsidR="00A263E9" w:rsidRPr="0068442A">
        <w:rPr>
          <w:rFonts w:ascii="Times New Roman" w:hAnsi="Times New Roman" w:cs="Times New Roman"/>
        </w:rPr>
        <w:t>he</w:t>
      </w:r>
      <w:r w:rsidR="00523F78" w:rsidRPr="0068442A">
        <w:rPr>
          <w:rFonts w:ascii="Times New Roman" w:hAnsi="Times New Roman" w:cs="Times New Roman"/>
        </w:rPr>
        <w:t xml:space="preserve"> 4+</w:t>
      </w:r>
      <w:r w:rsidR="00574D22" w:rsidRPr="0068442A">
        <w:rPr>
          <w:rFonts w:ascii="Times New Roman" w:hAnsi="Times New Roman" w:cs="Times New Roman"/>
        </w:rPr>
        <w:t xml:space="preserve"> </w:t>
      </w:r>
      <w:r w:rsidR="004E246F" w:rsidRPr="0068442A">
        <w:rPr>
          <w:rFonts w:ascii="Times New Roman" w:hAnsi="Times New Roman" w:cs="Times New Roman"/>
        </w:rPr>
        <w:t>education reform</w:t>
      </w:r>
      <w:r w:rsidR="00C075A0" w:rsidRPr="0068442A">
        <w:rPr>
          <w:rFonts w:ascii="Times New Roman" w:hAnsi="Times New Roman" w:cs="Times New Roman"/>
        </w:rPr>
        <w:t xml:space="preserve"> (</w:t>
      </w:r>
      <w:r w:rsidR="004E246F" w:rsidRPr="0068442A">
        <w:rPr>
          <w:rFonts w:ascii="Times New Roman" w:hAnsi="Times New Roman" w:cs="Times New Roman"/>
        </w:rPr>
        <w:t>launched in 2012</w:t>
      </w:r>
      <w:r w:rsidR="00C075A0" w:rsidRPr="0068442A">
        <w:rPr>
          <w:rFonts w:ascii="Times New Roman" w:hAnsi="Times New Roman" w:cs="Times New Roman"/>
        </w:rPr>
        <w:t>)</w:t>
      </w:r>
      <w:r w:rsidR="004E246F" w:rsidRPr="0068442A">
        <w:rPr>
          <w:rFonts w:ascii="Times New Roman" w:hAnsi="Times New Roman" w:cs="Times New Roman"/>
        </w:rPr>
        <w:t xml:space="preserve"> </w:t>
      </w:r>
      <w:r w:rsidR="00574D22" w:rsidRPr="0068442A">
        <w:rPr>
          <w:rFonts w:ascii="Times New Roman" w:hAnsi="Times New Roman" w:cs="Times New Roman"/>
        </w:rPr>
        <w:t>was</w:t>
      </w:r>
      <w:r w:rsidR="007428DF" w:rsidRPr="0068442A">
        <w:rPr>
          <w:rFonts w:ascii="Times New Roman" w:hAnsi="Times New Roman" w:cs="Times New Roman"/>
        </w:rPr>
        <w:t xml:space="preserve"> likewise</w:t>
      </w:r>
      <w:r w:rsidR="00523F78" w:rsidRPr="0068442A">
        <w:rPr>
          <w:rFonts w:ascii="Times New Roman" w:hAnsi="Times New Roman" w:cs="Times New Roman"/>
        </w:rPr>
        <w:t xml:space="preserve"> introduced</w:t>
      </w:r>
      <w:r w:rsidRPr="0068442A">
        <w:rPr>
          <w:rFonts w:ascii="Times New Roman" w:hAnsi="Times New Roman" w:cs="Times New Roman"/>
        </w:rPr>
        <w:t xml:space="preserve"> with a top-down approach and presented</w:t>
      </w:r>
      <w:r w:rsidR="00523F78" w:rsidRPr="0068442A">
        <w:rPr>
          <w:rFonts w:ascii="Times New Roman" w:hAnsi="Times New Roman" w:cs="Times New Roman"/>
        </w:rPr>
        <w:t xml:space="preserve"> as a</w:t>
      </w:r>
      <w:r w:rsidR="004E246F" w:rsidRPr="0068442A">
        <w:rPr>
          <w:rFonts w:ascii="Times New Roman" w:hAnsi="Times New Roman" w:cs="Times New Roman"/>
        </w:rPr>
        <w:t xml:space="preserve">n essential change to create and promote </w:t>
      </w:r>
      <w:r w:rsidR="006C7441">
        <w:rPr>
          <w:rFonts w:ascii="Times New Roman" w:hAnsi="Times New Roman" w:cs="Times New Roman"/>
        </w:rPr>
        <w:t xml:space="preserve">a </w:t>
      </w:r>
      <w:r w:rsidR="004E246F" w:rsidRPr="0068442A">
        <w:rPr>
          <w:rFonts w:ascii="Times New Roman" w:hAnsi="Times New Roman" w:cs="Times New Roman"/>
        </w:rPr>
        <w:t>democratic and pluralist</w:t>
      </w:r>
      <w:r w:rsidR="00523F78" w:rsidRPr="0068442A">
        <w:rPr>
          <w:rFonts w:ascii="Times New Roman" w:hAnsi="Times New Roman" w:cs="Times New Roman"/>
        </w:rPr>
        <w:t xml:space="preserve"> </w:t>
      </w:r>
      <w:r w:rsidR="004E246F" w:rsidRPr="0068442A">
        <w:rPr>
          <w:rFonts w:ascii="Times New Roman" w:hAnsi="Times New Roman" w:cs="Times New Roman"/>
        </w:rPr>
        <w:t>education and society</w:t>
      </w:r>
      <w:r w:rsidR="00523F78" w:rsidRPr="0068442A">
        <w:rPr>
          <w:rFonts w:ascii="Times New Roman" w:hAnsi="Times New Roman" w:cs="Times New Roman"/>
        </w:rPr>
        <w:t>. The</w:t>
      </w:r>
      <w:r w:rsidR="00A263E9" w:rsidRPr="0068442A">
        <w:rPr>
          <w:rFonts w:ascii="Times New Roman" w:hAnsi="Times New Roman" w:cs="Times New Roman"/>
        </w:rPr>
        <w:t xml:space="preserve"> main changes the </w:t>
      </w:r>
      <w:r w:rsidR="007428DF" w:rsidRPr="0068442A">
        <w:rPr>
          <w:rFonts w:ascii="Times New Roman" w:hAnsi="Times New Roman" w:cs="Times New Roman"/>
        </w:rPr>
        <w:t>reform brought were</w:t>
      </w:r>
      <w:r w:rsidR="00A263E9" w:rsidRPr="0068442A">
        <w:rPr>
          <w:rFonts w:ascii="Times New Roman" w:hAnsi="Times New Roman" w:cs="Times New Roman"/>
        </w:rPr>
        <w:t xml:space="preserve"> divi</w:t>
      </w:r>
      <w:r w:rsidR="00574D22" w:rsidRPr="0068442A">
        <w:rPr>
          <w:rFonts w:ascii="Times New Roman" w:hAnsi="Times New Roman" w:cs="Times New Roman"/>
        </w:rPr>
        <w:t>di</w:t>
      </w:r>
      <w:r w:rsidR="00A263E9" w:rsidRPr="0068442A">
        <w:rPr>
          <w:rFonts w:ascii="Times New Roman" w:hAnsi="Times New Roman" w:cs="Times New Roman"/>
        </w:rPr>
        <w:t xml:space="preserve">ng the school system into three levels </w:t>
      </w:r>
      <w:r w:rsidR="00477D6E" w:rsidRPr="0068442A">
        <w:rPr>
          <w:rFonts w:ascii="Times New Roman" w:hAnsi="Times New Roman" w:cs="Times New Roman"/>
        </w:rPr>
        <w:t>(</w:t>
      </w:r>
      <w:r w:rsidR="00A263E9" w:rsidRPr="0068442A">
        <w:rPr>
          <w:rFonts w:ascii="Times New Roman" w:hAnsi="Times New Roman" w:cs="Times New Roman"/>
        </w:rPr>
        <w:t>primary, middle and secondary</w:t>
      </w:r>
      <w:r w:rsidR="007428DF" w:rsidRPr="0068442A">
        <w:rPr>
          <w:rFonts w:ascii="Times New Roman" w:hAnsi="Times New Roman" w:cs="Times New Roman"/>
        </w:rPr>
        <w:t xml:space="preserve">) and </w:t>
      </w:r>
      <w:r w:rsidR="00A263E9" w:rsidRPr="0068442A">
        <w:rPr>
          <w:rFonts w:ascii="Times New Roman" w:hAnsi="Times New Roman" w:cs="Times New Roman"/>
        </w:rPr>
        <w:t>extending the length of compulsory schooling from eight to twelve years</w:t>
      </w:r>
      <w:r w:rsidR="004E4214" w:rsidRPr="0068442A">
        <w:rPr>
          <w:rFonts w:ascii="Times New Roman" w:hAnsi="Times New Roman" w:cs="Times New Roman"/>
        </w:rPr>
        <w:t xml:space="preserve">, which </w:t>
      </w:r>
      <w:r w:rsidR="00A263E9" w:rsidRPr="0068442A">
        <w:rPr>
          <w:rFonts w:ascii="Times New Roman" w:hAnsi="Times New Roman" w:cs="Times New Roman"/>
        </w:rPr>
        <w:t xml:space="preserve">paved the way for students to choose </w:t>
      </w:r>
      <w:r w:rsidR="006C7441">
        <w:rPr>
          <w:rFonts w:ascii="Times New Roman" w:hAnsi="Times New Roman" w:cs="Times New Roman"/>
        </w:rPr>
        <w:t xml:space="preserve">between </w:t>
      </w:r>
      <w:r w:rsidR="00A263E9" w:rsidRPr="0068442A">
        <w:rPr>
          <w:rFonts w:ascii="Times New Roman" w:hAnsi="Times New Roman" w:cs="Times New Roman"/>
        </w:rPr>
        <w:t>different types of schools at the end</w:t>
      </w:r>
      <w:r w:rsidR="007428DF" w:rsidRPr="0068442A">
        <w:rPr>
          <w:rFonts w:ascii="Times New Roman" w:hAnsi="Times New Roman" w:cs="Times New Roman"/>
        </w:rPr>
        <w:t xml:space="preserve"> of primary school (year four)</w:t>
      </w:r>
      <w:r w:rsidR="006C7441">
        <w:rPr>
          <w:rFonts w:ascii="Times New Roman" w:hAnsi="Times New Roman" w:cs="Times New Roman"/>
        </w:rPr>
        <w:t>, namely:</w:t>
      </w:r>
      <w:r w:rsidR="007428DF" w:rsidRPr="0068442A">
        <w:rPr>
          <w:rFonts w:ascii="Times New Roman" w:hAnsi="Times New Roman" w:cs="Times New Roman"/>
        </w:rPr>
        <w:t xml:space="preserve"> </w:t>
      </w:r>
      <w:r w:rsidR="00A263E9" w:rsidRPr="0068442A">
        <w:rPr>
          <w:rFonts w:ascii="Times New Roman" w:hAnsi="Times New Roman" w:cs="Times New Roman"/>
        </w:rPr>
        <w:t>basic schools (both private and public), vocational schools</w:t>
      </w:r>
      <w:r w:rsidR="00477D6E" w:rsidRPr="0068442A">
        <w:rPr>
          <w:rFonts w:ascii="Times New Roman" w:hAnsi="Times New Roman" w:cs="Times New Roman"/>
        </w:rPr>
        <w:t>,</w:t>
      </w:r>
      <w:r w:rsidR="00A263E9" w:rsidRPr="0068442A">
        <w:rPr>
          <w:rFonts w:ascii="Times New Roman" w:hAnsi="Times New Roman" w:cs="Times New Roman"/>
        </w:rPr>
        <w:t xml:space="preserve"> and open education. </w:t>
      </w:r>
      <w:r w:rsidR="007428DF" w:rsidRPr="0068442A">
        <w:rPr>
          <w:rFonts w:ascii="Times New Roman" w:hAnsi="Times New Roman" w:cs="Times New Roman"/>
        </w:rPr>
        <w:t>Since</w:t>
      </w:r>
      <w:r w:rsidR="00A263E9" w:rsidRPr="0068442A">
        <w:rPr>
          <w:rFonts w:ascii="Times New Roman" w:hAnsi="Times New Roman" w:cs="Times New Roman"/>
        </w:rPr>
        <w:t xml:space="preserve"> there are no other vocational schools that provide middle school education apart from </w:t>
      </w:r>
      <w:r w:rsidR="00A263E9" w:rsidRPr="0068442A">
        <w:rPr>
          <w:rFonts w:ascii="Times New Roman" w:hAnsi="Times New Roman" w:cs="Times New Roman"/>
          <w:i/>
        </w:rPr>
        <w:t>imam</w:t>
      </w:r>
      <w:r w:rsidR="003C4B7A" w:rsidRPr="0068442A">
        <w:rPr>
          <w:rFonts w:ascii="Times New Roman" w:hAnsi="Times New Roman" w:cs="Times New Roman"/>
          <w:i/>
        </w:rPr>
        <w:t xml:space="preserve"> </w:t>
      </w:r>
      <w:r w:rsidR="00A263E9" w:rsidRPr="0068442A">
        <w:rPr>
          <w:rFonts w:ascii="Times New Roman" w:hAnsi="Times New Roman" w:cs="Times New Roman"/>
          <w:i/>
        </w:rPr>
        <w:t>hatip</w:t>
      </w:r>
      <w:r w:rsidR="00A263E9" w:rsidRPr="0068442A">
        <w:rPr>
          <w:rFonts w:ascii="Times New Roman" w:hAnsi="Times New Roman" w:cs="Times New Roman"/>
        </w:rPr>
        <w:t xml:space="preserve"> (religious) schools (Gün </w:t>
      </w:r>
      <w:r w:rsidR="00950B95" w:rsidRPr="0068442A">
        <w:rPr>
          <w:rFonts w:ascii="Times New Roman" w:hAnsi="Times New Roman" w:cs="Times New Roman"/>
        </w:rPr>
        <w:t>&amp;</w:t>
      </w:r>
      <w:r w:rsidR="00022EE2" w:rsidRPr="0068442A">
        <w:rPr>
          <w:rFonts w:ascii="Times New Roman" w:hAnsi="Times New Roman" w:cs="Times New Roman"/>
        </w:rPr>
        <w:t xml:space="preserve"> </w:t>
      </w:r>
      <w:r w:rsidR="009A2534" w:rsidRPr="0068442A">
        <w:rPr>
          <w:rFonts w:ascii="Times New Roman" w:hAnsi="Times New Roman" w:cs="Times New Roman"/>
        </w:rPr>
        <w:t>Baş</w:t>
      </w:r>
      <w:r w:rsidR="002450F7" w:rsidRPr="0068442A">
        <w:rPr>
          <w:rFonts w:ascii="Times New Roman" w:hAnsi="Times New Roman" w:cs="Times New Roman"/>
        </w:rPr>
        <w:t xml:space="preserve">kan, </w:t>
      </w:r>
      <w:r w:rsidR="007428DF" w:rsidRPr="0068442A">
        <w:rPr>
          <w:rFonts w:ascii="Times New Roman" w:hAnsi="Times New Roman" w:cs="Times New Roman"/>
        </w:rPr>
        <w:t>2014, 231), t</w:t>
      </w:r>
      <w:r w:rsidR="00A263E9" w:rsidRPr="0068442A">
        <w:rPr>
          <w:rFonts w:ascii="Times New Roman" w:hAnsi="Times New Roman" w:cs="Times New Roman"/>
        </w:rPr>
        <w:t xml:space="preserve">his situation led to a debate on </w:t>
      </w:r>
      <w:r w:rsidR="00477D6E" w:rsidRPr="0068442A">
        <w:rPr>
          <w:rFonts w:ascii="Times New Roman" w:hAnsi="Times New Roman" w:cs="Times New Roman"/>
        </w:rPr>
        <w:t xml:space="preserve">whether </w:t>
      </w:r>
      <w:r w:rsidR="00A263E9" w:rsidRPr="0068442A">
        <w:rPr>
          <w:rFonts w:ascii="Times New Roman" w:hAnsi="Times New Roman" w:cs="Times New Roman"/>
        </w:rPr>
        <w:t xml:space="preserve">the </w:t>
      </w:r>
      <w:r w:rsidR="00A263E9" w:rsidRPr="00EC7182">
        <w:rPr>
          <w:rFonts w:ascii="Times New Roman" w:hAnsi="Times New Roman" w:cs="Times New Roman"/>
        </w:rPr>
        <w:t>4+</w:t>
      </w:r>
      <w:r w:rsidR="00A263E9" w:rsidRPr="0068442A">
        <w:rPr>
          <w:rFonts w:ascii="Times New Roman" w:hAnsi="Times New Roman" w:cs="Times New Roman"/>
          <w:i/>
        </w:rPr>
        <w:t xml:space="preserve"> </w:t>
      </w:r>
      <w:r w:rsidR="00A263E9" w:rsidRPr="0068442A">
        <w:rPr>
          <w:rFonts w:ascii="Times New Roman" w:hAnsi="Times New Roman" w:cs="Times New Roman"/>
        </w:rPr>
        <w:t>actually extend</w:t>
      </w:r>
      <w:r w:rsidR="00477D6E" w:rsidRPr="0068442A">
        <w:rPr>
          <w:rFonts w:ascii="Times New Roman" w:hAnsi="Times New Roman" w:cs="Times New Roman"/>
        </w:rPr>
        <w:t>ed</w:t>
      </w:r>
      <w:r w:rsidR="00A263E9" w:rsidRPr="0068442A">
        <w:rPr>
          <w:rFonts w:ascii="Times New Roman" w:hAnsi="Times New Roman" w:cs="Times New Roman"/>
        </w:rPr>
        <w:t xml:space="preserve"> the length of compulsory education, </w:t>
      </w:r>
      <w:r w:rsidR="00477D6E" w:rsidRPr="0068442A">
        <w:rPr>
          <w:rFonts w:ascii="Times New Roman" w:hAnsi="Times New Roman" w:cs="Times New Roman"/>
        </w:rPr>
        <w:t>or</w:t>
      </w:r>
      <w:r w:rsidR="00A263E9" w:rsidRPr="0068442A">
        <w:rPr>
          <w:rFonts w:ascii="Times New Roman" w:hAnsi="Times New Roman" w:cs="Times New Roman"/>
        </w:rPr>
        <w:t xml:space="preserve"> just allowed students to leave basic education at the end of year four and enter religious schools at the age of nine or ten. </w:t>
      </w:r>
      <w:r w:rsidR="00A263E9" w:rsidRPr="0068442A">
        <w:rPr>
          <w:rFonts w:ascii="Times New Roman" w:hAnsi="Times New Roman" w:cs="Times New Roman"/>
          <w:i/>
        </w:rPr>
        <w:t xml:space="preserve">Imam hatip </w:t>
      </w:r>
      <w:r w:rsidR="00A263E9" w:rsidRPr="0068442A">
        <w:rPr>
          <w:rFonts w:ascii="Times New Roman" w:hAnsi="Times New Roman" w:cs="Times New Roman"/>
        </w:rPr>
        <w:t xml:space="preserve">schools were historically established to train preachers and have been categorised </w:t>
      </w:r>
      <w:r w:rsidR="001B70FD" w:rsidRPr="0068442A">
        <w:rPr>
          <w:rFonts w:ascii="Times New Roman" w:hAnsi="Times New Roman" w:cs="Times New Roman"/>
        </w:rPr>
        <w:t xml:space="preserve">as </w:t>
      </w:r>
      <w:r w:rsidR="00A263E9" w:rsidRPr="0068442A">
        <w:rPr>
          <w:rFonts w:ascii="Times New Roman" w:hAnsi="Times New Roman" w:cs="Times New Roman"/>
        </w:rPr>
        <w:t>vocational schools.</w:t>
      </w:r>
      <w:r w:rsidR="0066109E" w:rsidRPr="0068442A">
        <w:rPr>
          <w:rFonts w:ascii="Times New Roman" w:hAnsi="Times New Roman" w:cs="Times New Roman"/>
        </w:rPr>
        <w:t xml:space="preserve"> </w:t>
      </w:r>
      <w:r w:rsidR="00A263E9" w:rsidRPr="0068442A">
        <w:rPr>
          <w:rFonts w:ascii="Times New Roman" w:hAnsi="Times New Roman" w:cs="Times New Roman"/>
        </w:rPr>
        <w:t xml:space="preserve">When the 4+ education reform </w:t>
      </w:r>
      <w:r w:rsidR="00401E9F">
        <w:rPr>
          <w:rFonts w:ascii="Times New Roman" w:hAnsi="Times New Roman" w:cs="Times New Roman"/>
        </w:rPr>
        <w:t xml:space="preserve">was </w:t>
      </w:r>
      <w:r w:rsidR="00A263E9" w:rsidRPr="0068442A">
        <w:rPr>
          <w:rFonts w:ascii="Times New Roman" w:hAnsi="Times New Roman" w:cs="Times New Roman"/>
        </w:rPr>
        <w:t xml:space="preserve">passed, it also </w:t>
      </w:r>
      <w:r w:rsidR="004E4214" w:rsidRPr="0068442A">
        <w:rPr>
          <w:rFonts w:ascii="Times New Roman" w:hAnsi="Times New Roman" w:cs="Times New Roman"/>
        </w:rPr>
        <w:t xml:space="preserve">laid the ground </w:t>
      </w:r>
      <w:r w:rsidR="00A263E9" w:rsidRPr="0068442A">
        <w:rPr>
          <w:rFonts w:ascii="Times New Roman" w:hAnsi="Times New Roman" w:cs="Times New Roman"/>
        </w:rPr>
        <w:t xml:space="preserve">for </w:t>
      </w:r>
      <w:r w:rsidR="00A263E9" w:rsidRPr="0068442A">
        <w:rPr>
          <w:rFonts w:ascii="Times New Roman" w:hAnsi="Times New Roman" w:cs="Times New Roman"/>
          <w:i/>
        </w:rPr>
        <w:t xml:space="preserve">imam hatip </w:t>
      </w:r>
      <w:r w:rsidR="00A263E9" w:rsidRPr="0068442A">
        <w:rPr>
          <w:rFonts w:ascii="Times New Roman" w:hAnsi="Times New Roman" w:cs="Times New Roman"/>
        </w:rPr>
        <w:t>middle schools to be re-established</w:t>
      </w:r>
      <w:r w:rsidR="007428DF" w:rsidRPr="0068442A">
        <w:rPr>
          <w:rFonts w:ascii="Times New Roman" w:hAnsi="Times New Roman" w:cs="Times New Roman"/>
        </w:rPr>
        <w:t>, which</w:t>
      </w:r>
      <w:r w:rsidR="00A263E9" w:rsidRPr="0068442A">
        <w:rPr>
          <w:rFonts w:ascii="Times New Roman" w:hAnsi="Times New Roman" w:cs="Times New Roman"/>
        </w:rPr>
        <w:t xml:space="preserve"> cause</w:t>
      </w:r>
      <w:r w:rsidR="00574D22" w:rsidRPr="0068442A">
        <w:rPr>
          <w:rFonts w:ascii="Times New Roman" w:hAnsi="Times New Roman" w:cs="Times New Roman"/>
        </w:rPr>
        <w:t>d</w:t>
      </w:r>
      <w:r w:rsidR="00A263E9" w:rsidRPr="0068442A">
        <w:rPr>
          <w:rFonts w:ascii="Times New Roman" w:hAnsi="Times New Roman" w:cs="Times New Roman"/>
        </w:rPr>
        <w:t xml:space="preserve"> </w:t>
      </w:r>
      <w:r w:rsidR="0037297D" w:rsidRPr="0068442A">
        <w:rPr>
          <w:rFonts w:ascii="Times New Roman" w:hAnsi="Times New Roman" w:cs="Times New Roman"/>
        </w:rPr>
        <w:t xml:space="preserve">extensive </w:t>
      </w:r>
      <w:r w:rsidR="00A263E9" w:rsidRPr="0068442A">
        <w:rPr>
          <w:rFonts w:ascii="Times New Roman" w:hAnsi="Times New Roman" w:cs="Times New Roman"/>
        </w:rPr>
        <w:t xml:space="preserve">discussions and protests from </w:t>
      </w:r>
      <w:r w:rsidR="00745703" w:rsidRPr="0068442A">
        <w:rPr>
          <w:rFonts w:ascii="Times New Roman" w:hAnsi="Times New Roman" w:cs="Times New Roman"/>
        </w:rPr>
        <w:t xml:space="preserve">various </w:t>
      </w:r>
      <w:r w:rsidR="00A263E9" w:rsidRPr="0068442A">
        <w:rPr>
          <w:rFonts w:ascii="Times New Roman" w:hAnsi="Times New Roman" w:cs="Times New Roman"/>
        </w:rPr>
        <w:t xml:space="preserve">parts of </w:t>
      </w:r>
      <w:r w:rsidR="00477D6E" w:rsidRPr="0068442A">
        <w:rPr>
          <w:rFonts w:ascii="Times New Roman" w:hAnsi="Times New Roman" w:cs="Times New Roman"/>
        </w:rPr>
        <w:t>Turkish</w:t>
      </w:r>
      <w:r w:rsidR="00A263E9" w:rsidRPr="0068442A">
        <w:rPr>
          <w:rFonts w:ascii="Times New Roman" w:hAnsi="Times New Roman" w:cs="Times New Roman"/>
        </w:rPr>
        <w:t xml:space="preserve"> society</w:t>
      </w:r>
      <w:r w:rsidR="00477D6E" w:rsidRPr="0068442A">
        <w:rPr>
          <w:rFonts w:ascii="Times New Roman" w:hAnsi="Times New Roman" w:cs="Times New Roman"/>
        </w:rPr>
        <w:t>,</w:t>
      </w:r>
      <w:r w:rsidR="00A263E9" w:rsidRPr="0068442A">
        <w:rPr>
          <w:rFonts w:ascii="Times New Roman" w:hAnsi="Times New Roman" w:cs="Times New Roman"/>
        </w:rPr>
        <w:t xml:space="preserve"> </w:t>
      </w:r>
      <w:r w:rsidR="00A263E9" w:rsidRPr="0068442A">
        <w:rPr>
          <w:rFonts w:ascii="Times New Roman" w:hAnsi="Times New Roman" w:cs="Times New Roman"/>
        </w:rPr>
        <w:lastRenderedPageBreak/>
        <w:t>especially among</w:t>
      </w:r>
      <w:r w:rsidR="009A2534" w:rsidRPr="0068442A">
        <w:rPr>
          <w:rFonts w:ascii="Times New Roman" w:hAnsi="Times New Roman" w:cs="Times New Roman"/>
        </w:rPr>
        <w:t xml:space="preserve"> secularist</w:t>
      </w:r>
      <w:r w:rsidR="002D6F33">
        <w:rPr>
          <w:rFonts w:ascii="Times New Roman" w:hAnsi="Times New Roman" w:cs="Times New Roman"/>
        </w:rPr>
        <w:t xml:space="preserve">s </w:t>
      </w:r>
      <w:r w:rsidR="004E4214" w:rsidRPr="0068442A">
        <w:rPr>
          <w:rFonts w:ascii="Times New Roman" w:hAnsi="Times New Roman" w:cs="Times New Roman"/>
        </w:rPr>
        <w:t xml:space="preserve">who </w:t>
      </w:r>
      <w:r w:rsidR="009A2534" w:rsidRPr="0068442A">
        <w:rPr>
          <w:rFonts w:ascii="Times New Roman" w:hAnsi="Times New Roman" w:cs="Times New Roman"/>
        </w:rPr>
        <w:t>argue</w:t>
      </w:r>
      <w:r w:rsidR="002D6F33">
        <w:rPr>
          <w:rFonts w:ascii="Times New Roman" w:hAnsi="Times New Roman" w:cs="Times New Roman"/>
        </w:rPr>
        <w:t>d</w:t>
      </w:r>
      <w:r w:rsidR="00A263E9" w:rsidRPr="0068442A">
        <w:rPr>
          <w:rFonts w:ascii="Times New Roman" w:hAnsi="Times New Roman" w:cs="Times New Roman"/>
        </w:rPr>
        <w:t xml:space="preserve"> that the </w:t>
      </w:r>
      <w:r w:rsidR="00A263E9" w:rsidRPr="00EC7182">
        <w:rPr>
          <w:rFonts w:ascii="Times New Roman" w:hAnsi="Times New Roman" w:cs="Times New Roman"/>
        </w:rPr>
        <w:t>4</w:t>
      </w:r>
      <w:r w:rsidR="00A263E9" w:rsidRPr="0068442A">
        <w:rPr>
          <w:rFonts w:ascii="Times New Roman" w:hAnsi="Times New Roman" w:cs="Times New Roman"/>
          <w:i/>
        </w:rPr>
        <w:t xml:space="preserve">+ </w:t>
      </w:r>
      <w:r w:rsidR="00A263E9" w:rsidRPr="0068442A">
        <w:rPr>
          <w:rFonts w:ascii="Times New Roman" w:hAnsi="Times New Roman" w:cs="Times New Roman"/>
        </w:rPr>
        <w:t xml:space="preserve">education reform was introduced to </w:t>
      </w:r>
      <w:r w:rsidR="004E4214" w:rsidRPr="0068442A">
        <w:rPr>
          <w:rFonts w:ascii="Times New Roman" w:hAnsi="Times New Roman" w:cs="Times New Roman"/>
        </w:rPr>
        <w:t>promote</w:t>
      </w:r>
      <w:r w:rsidR="00A263E9" w:rsidRPr="0068442A">
        <w:rPr>
          <w:rFonts w:ascii="Times New Roman" w:hAnsi="Times New Roman" w:cs="Times New Roman"/>
        </w:rPr>
        <w:t xml:space="preserve"> the </w:t>
      </w:r>
      <w:r w:rsidR="00A263E9" w:rsidRPr="0068442A">
        <w:rPr>
          <w:rFonts w:ascii="Times New Roman" w:hAnsi="Times New Roman" w:cs="Times New Roman"/>
          <w:i/>
        </w:rPr>
        <w:t xml:space="preserve">imam hatip </w:t>
      </w:r>
      <w:r w:rsidR="009B2E4A" w:rsidRPr="0068442A">
        <w:rPr>
          <w:rFonts w:ascii="Times New Roman" w:hAnsi="Times New Roman" w:cs="Times New Roman"/>
        </w:rPr>
        <w:t>schools</w:t>
      </w:r>
      <w:r w:rsidR="009A2534" w:rsidRPr="0068442A">
        <w:rPr>
          <w:rFonts w:ascii="Times New Roman" w:hAnsi="Times New Roman" w:cs="Times New Roman"/>
        </w:rPr>
        <w:t xml:space="preserve"> and to decrease the actual </w:t>
      </w:r>
      <w:r w:rsidR="00833B28" w:rsidRPr="0068442A">
        <w:rPr>
          <w:rFonts w:ascii="Times New Roman" w:hAnsi="Times New Roman" w:cs="Times New Roman"/>
        </w:rPr>
        <w:t xml:space="preserve">length </w:t>
      </w:r>
      <w:r w:rsidR="00833B28">
        <w:rPr>
          <w:rFonts w:ascii="Times New Roman" w:hAnsi="Times New Roman" w:cs="Times New Roman"/>
        </w:rPr>
        <w:t xml:space="preserve">of </w:t>
      </w:r>
      <w:r w:rsidR="009A2534" w:rsidRPr="0068442A">
        <w:rPr>
          <w:rFonts w:ascii="Times New Roman" w:hAnsi="Times New Roman" w:cs="Times New Roman"/>
        </w:rPr>
        <w:t xml:space="preserve">physical attendance </w:t>
      </w:r>
      <w:r w:rsidR="00833B28">
        <w:rPr>
          <w:rFonts w:ascii="Times New Roman" w:hAnsi="Times New Roman" w:cs="Times New Roman"/>
        </w:rPr>
        <w:t>in</w:t>
      </w:r>
      <w:r w:rsidR="009A2534" w:rsidRPr="0068442A">
        <w:rPr>
          <w:rFonts w:ascii="Times New Roman" w:hAnsi="Times New Roman" w:cs="Times New Roman"/>
        </w:rPr>
        <w:t xml:space="preserve"> compulsory education to four years</w:t>
      </w:r>
      <w:r w:rsidR="003F5D0F" w:rsidRPr="0068442A">
        <w:rPr>
          <w:rFonts w:ascii="Times New Roman" w:hAnsi="Times New Roman" w:cs="Times New Roman"/>
        </w:rPr>
        <w:t xml:space="preserve"> (Güven</w:t>
      </w:r>
      <w:r w:rsidR="002450F7" w:rsidRPr="0068442A">
        <w:rPr>
          <w:rFonts w:ascii="Times New Roman" w:hAnsi="Times New Roman" w:cs="Times New Roman"/>
        </w:rPr>
        <w:t xml:space="preserve">, </w:t>
      </w:r>
      <w:r w:rsidR="000B7D9E" w:rsidRPr="0068442A">
        <w:rPr>
          <w:rFonts w:ascii="Times New Roman" w:hAnsi="Times New Roman" w:cs="Times New Roman"/>
        </w:rPr>
        <w:t>2012)</w:t>
      </w:r>
      <w:r w:rsidR="00AA747D" w:rsidRPr="0068442A">
        <w:rPr>
          <w:rFonts w:ascii="Times New Roman" w:hAnsi="Times New Roman" w:cs="Times New Roman"/>
        </w:rPr>
        <w:t>.</w:t>
      </w:r>
      <w:r w:rsidR="009D1B46" w:rsidRPr="0068442A">
        <w:rPr>
          <w:rFonts w:ascii="Times New Roman" w:hAnsi="Times New Roman" w:cs="Times New Roman"/>
        </w:rPr>
        <w:t xml:space="preserve"> </w:t>
      </w:r>
      <w:r w:rsidR="00EF4FB9">
        <w:rPr>
          <w:rFonts w:ascii="Times New Roman" w:hAnsi="Times New Roman" w:cs="Times New Roman"/>
        </w:rPr>
        <w:t>In this view</w:t>
      </w:r>
      <w:r w:rsidR="009D1B46" w:rsidRPr="0068442A">
        <w:rPr>
          <w:rFonts w:ascii="Times New Roman" w:hAnsi="Times New Roman" w:cs="Times New Roman"/>
        </w:rPr>
        <w:t>, instead of increasing the compulsory education to twelve years and encourag</w:t>
      </w:r>
      <w:r w:rsidR="00992640" w:rsidRPr="0068442A">
        <w:rPr>
          <w:rFonts w:ascii="Times New Roman" w:hAnsi="Times New Roman" w:cs="Times New Roman"/>
        </w:rPr>
        <w:t>ing</w:t>
      </w:r>
      <w:r w:rsidR="009D1B46" w:rsidRPr="0068442A">
        <w:rPr>
          <w:rFonts w:ascii="Times New Roman" w:hAnsi="Times New Roman" w:cs="Times New Roman"/>
        </w:rPr>
        <w:t xml:space="preserve"> students to stay in schools longer, </w:t>
      </w:r>
      <w:r w:rsidR="009A2534" w:rsidRPr="0068442A">
        <w:rPr>
          <w:rFonts w:ascii="Times New Roman" w:hAnsi="Times New Roman" w:cs="Times New Roman"/>
        </w:rPr>
        <w:t xml:space="preserve">the reform </w:t>
      </w:r>
      <w:r w:rsidR="009D1B46" w:rsidRPr="0068442A">
        <w:rPr>
          <w:rFonts w:ascii="Times New Roman" w:hAnsi="Times New Roman" w:cs="Times New Roman"/>
        </w:rPr>
        <w:t>actually “cut the compulsory schooling short and guided students towards open education or apprentic</w:t>
      </w:r>
      <w:r w:rsidR="003F5D0F" w:rsidRPr="0068442A">
        <w:rPr>
          <w:rFonts w:ascii="Times New Roman" w:hAnsi="Times New Roman" w:cs="Times New Roman"/>
        </w:rPr>
        <w:t xml:space="preserve">eships </w:t>
      </w:r>
      <w:r w:rsidR="000C2101" w:rsidRPr="0068442A">
        <w:rPr>
          <w:rFonts w:ascii="Times New Roman" w:hAnsi="Times New Roman" w:cs="Times New Roman"/>
        </w:rPr>
        <w:t xml:space="preserve">at </w:t>
      </w:r>
      <w:r w:rsidR="003F5D0F" w:rsidRPr="0068442A">
        <w:rPr>
          <w:rFonts w:ascii="Times New Roman" w:hAnsi="Times New Roman" w:cs="Times New Roman"/>
        </w:rPr>
        <w:t>an early age”</w:t>
      </w:r>
      <w:r w:rsidR="002450F7" w:rsidRPr="0068442A">
        <w:rPr>
          <w:rFonts w:ascii="Times New Roman" w:hAnsi="Times New Roman" w:cs="Times New Roman"/>
        </w:rPr>
        <w:t xml:space="preserve"> (Okçabol, 2013, </w:t>
      </w:r>
      <w:r w:rsidR="009A2534" w:rsidRPr="0068442A">
        <w:rPr>
          <w:rFonts w:ascii="Times New Roman" w:hAnsi="Times New Roman" w:cs="Times New Roman"/>
        </w:rPr>
        <w:t>231)</w:t>
      </w:r>
      <w:r w:rsidR="009D1B46" w:rsidRPr="0068442A">
        <w:rPr>
          <w:rFonts w:ascii="Times New Roman" w:hAnsi="Times New Roman" w:cs="Times New Roman"/>
        </w:rPr>
        <w:t>.</w:t>
      </w:r>
      <w:r w:rsidR="0066109E" w:rsidRPr="0068442A">
        <w:rPr>
          <w:rFonts w:ascii="Times New Roman" w:hAnsi="Times New Roman" w:cs="Times New Roman"/>
        </w:rPr>
        <w:t xml:space="preserve"> </w:t>
      </w:r>
      <w:r w:rsidR="009A2534" w:rsidRPr="0068442A">
        <w:rPr>
          <w:rFonts w:ascii="Times New Roman" w:hAnsi="Times New Roman" w:cs="Times New Roman"/>
        </w:rPr>
        <w:t>As for girls’ schooling, concern</w:t>
      </w:r>
      <w:r w:rsidR="00A06C8E">
        <w:rPr>
          <w:rFonts w:ascii="Times New Roman" w:hAnsi="Times New Roman" w:cs="Times New Roman"/>
        </w:rPr>
        <w:t>s</w:t>
      </w:r>
      <w:r w:rsidR="009A2534" w:rsidRPr="0068442A">
        <w:rPr>
          <w:rFonts w:ascii="Times New Roman" w:hAnsi="Times New Roman" w:cs="Times New Roman"/>
        </w:rPr>
        <w:t xml:space="preserve"> ha</w:t>
      </w:r>
      <w:r w:rsidR="00A06C8E">
        <w:rPr>
          <w:rFonts w:ascii="Times New Roman" w:hAnsi="Times New Roman" w:cs="Times New Roman"/>
        </w:rPr>
        <w:t>ve</w:t>
      </w:r>
      <w:r w:rsidR="009A2534" w:rsidRPr="0068442A">
        <w:rPr>
          <w:rFonts w:ascii="Times New Roman" w:hAnsi="Times New Roman" w:cs="Times New Roman"/>
        </w:rPr>
        <w:t xml:space="preserve"> manifested </w:t>
      </w:r>
      <w:r w:rsidR="002B6865">
        <w:rPr>
          <w:rFonts w:ascii="Times New Roman" w:hAnsi="Times New Roman" w:cs="Times New Roman"/>
        </w:rPr>
        <w:t>regarding</w:t>
      </w:r>
      <w:r w:rsidR="002B6865" w:rsidRPr="0068442A">
        <w:rPr>
          <w:rFonts w:ascii="Times New Roman" w:hAnsi="Times New Roman" w:cs="Times New Roman"/>
        </w:rPr>
        <w:t xml:space="preserve"> </w:t>
      </w:r>
      <w:r w:rsidR="00D23E9F" w:rsidRPr="0068442A">
        <w:rPr>
          <w:rFonts w:ascii="Times New Roman" w:hAnsi="Times New Roman" w:cs="Times New Roman"/>
        </w:rPr>
        <w:t>the potential increase</w:t>
      </w:r>
      <w:r w:rsidR="00B24803" w:rsidRPr="0068442A">
        <w:rPr>
          <w:rFonts w:ascii="Times New Roman" w:hAnsi="Times New Roman" w:cs="Times New Roman"/>
        </w:rPr>
        <w:t xml:space="preserve"> of child brides </w:t>
      </w:r>
      <w:r w:rsidR="00A06C8E">
        <w:rPr>
          <w:rFonts w:ascii="Times New Roman" w:hAnsi="Times New Roman" w:cs="Times New Roman"/>
        </w:rPr>
        <w:t>by</w:t>
      </w:r>
      <w:r w:rsidR="00A06C8E" w:rsidRPr="0068442A">
        <w:rPr>
          <w:rFonts w:ascii="Times New Roman" w:hAnsi="Times New Roman" w:cs="Times New Roman"/>
        </w:rPr>
        <w:t xml:space="preserve"> </w:t>
      </w:r>
      <w:r w:rsidR="00B24803" w:rsidRPr="0068442A">
        <w:rPr>
          <w:rFonts w:ascii="Times New Roman" w:hAnsi="Times New Roman" w:cs="Times New Roman"/>
        </w:rPr>
        <w:t>allow</w:t>
      </w:r>
      <w:r w:rsidR="00D23E9F" w:rsidRPr="0068442A">
        <w:rPr>
          <w:rFonts w:ascii="Times New Roman" w:hAnsi="Times New Roman" w:cs="Times New Roman"/>
        </w:rPr>
        <w:t>ing</w:t>
      </w:r>
      <w:r w:rsidR="00B24803" w:rsidRPr="0068442A">
        <w:rPr>
          <w:rFonts w:ascii="Times New Roman" w:hAnsi="Times New Roman" w:cs="Times New Roman"/>
        </w:rPr>
        <w:t xml:space="preserve"> girls to drop out after they</w:t>
      </w:r>
      <w:r w:rsidR="00574D22" w:rsidRPr="0068442A">
        <w:rPr>
          <w:rFonts w:ascii="Times New Roman" w:hAnsi="Times New Roman" w:cs="Times New Roman"/>
        </w:rPr>
        <w:t xml:space="preserve"> </w:t>
      </w:r>
      <w:r w:rsidR="00A06C8E">
        <w:rPr>
          <w:rFonts w:ascii="Times New Roman" w:hAnsi="Times New Roman" w:cs="Times New Roman"/>
        </w:rPr>
        <w:t xml:space="preserve">have </w:t>
      </w:r>
      <w:r w:rsidR="00B24803" w:rsidRPr="0068442A">
        <w:rPr>
          <w:rFonts w:ascii="Times New Roman" w:hAnsi="Times New Roman" w:cs="Times New Roman"/>
        </w:rPr>
        <w:t>complete</w:t>
      </w:r>
      <w:r w:rsidR="00574D22" w:rsidRPr="0068442A">
        <w:rPr>
          <w:rFonts w:ascii="Times New Roman" w:hAnsi="Times New Roman" w:cs="Times New Roman"/>
        </w:rPr>
        <w:t>d</w:t>
      </w:r>
      <w:r w:rsidR="00B24803" w:rsidRPr="0068442A">
        <w:rPr>
          <w:rFonts w:ascii="Times New Roman" w:hAnsi="Times New Roman" w:cs="Times New Roman"/>
        </w:rPr>
        <w:t xml:space="preserve"> the first four</w:t>
      </w:r>
      <w:r w:rsidR="00574D22" w:rsidRPr="0068442A">
        <w:rPr>
          <w:rFonts w:ascii="Times New Roman" w:hAnsi="Times New Roman" w:cs="Times New Roman"/>
        </w:rPr>
        <w:t xml:space="preserve"> year</w:t>
      </w:r>
      <w:r w:rsidR="008F77E3" w:rsidRPr="0068442A">
        <w:rPr>
          <w:rFonts w:ascii="Times New Roman" w:hAnsi="Times New Roman" w:cs="Times New Roman"/>
        </w:rPr>
        <w:t>s</w:t>
      </w:r>
      <w:r w:rsidR="00574D22" w:rsidRPr="0068442A">
        <w:rPr>
          <w:rFonts w:ascii="Times New Roman" w:hAnsi="Times New Roman" w:cs="Times New Roman"/>
        </w:rPr>
        <w:t xml:space="preserve"> of schooling</w:t>
      </w:r>
      <w:r w:rsidR="00B24803" w:rsidRPr="0068442A">
        <w:rPr>
          <w:rFonts w:ascii="Times New Roman" w:hAnsi="Times New Roman" w:cs="Times New Roman"/>
        </w:rPr>
        <w:t xml:space="preserve">. </w:t>
      </w:r>
      <w:r w:rsidR="004E4214" w:rsidRPr="0068442A">
        <w:rPr>
          <w:rFonts w:ascii="Times New Roman" w:hAnsi="Times New Roman" w:cs="Times New Roman"/>
        </w:rPr>
        <w:t>For on</w:t>
      </w:r>
      <w:r w:rsidR="00D23E9F" w:rsidRPr="0068442A">
        <w:rPr>
          <w:rFonts w:ascii="Times New Roman" w:hAnsi="Times New Roman" w:cs="Times New Roman"/>
        </w:rPr>
        <w:t>e of the leading trade</w:t>
      </w:r>
      <w:r w:rsidR="004C608B" w:rsidRPr="0068442A">
        <w:rPr>
          <w:rFonts w:ascii="Times New Roman" w:hAnsi="Times New Roman" w:cs="Times New Roman"/>
        </w:rPr>
        <w:t xml:space="preserve"> union</w:t>
      </w:r>
      <w:r w:rsidR="00D23E9F" w:rsidRPr="0068442A">
        <w:rPr>
          <w:rFonts w:ascii="Times New Roman" w:hAnsi="Times New Roman" w:cs="Times New Roman"/>
        </w:rPr>
        <w:t>s</w:t>
      </w:r>
      <w:r w:rsidR="004E4214" w:rsidRPr="0068442A">
        <w:rPr>
          <w:rFonts w:ascii="Times New Roman" w:hAnsi="Times New Roman" w:cs="Times New Roman"/>
        </w:rPr>
        <w:t>,</w:t>
      </w:r>
      <w:r w:rsidR="004C608B" w:rsidRPr="0068442A">
        <w:rPr>
          <w:rFonts w:ascii="Times New Roman" w:hAnsi="Times New Roman" w:cs="Times New Roman"/>
        </w:rPr>
        <w:t xml:space="preserve"> 4+ does not make</w:t>
      </w:r>
      <w:r w:rsidR="00EA2BB3" w:rsidRPr="0068442A">
        <w:rPr>
          <w:rFonts w:ascii="Times New Roman" w:hAnsi="Times New Roman" w:cs="Times New Roman"/>
        </w:rPr>
        <w:t xml:space="preserve"> face-to-</w:t>
      </w:r>
      <w:r w:rsidR="004E246F" w:rsidRPr="0068442A">
        <w:rPr>
          <w:rFonts w:ascii="Times New Roman" w:hAnsi="Times New Roman" w:cs="Times New Roman"/>
        </w:rPr>
        <w:t>face</w:t>
      </w:r>
      <w:r w:rsidR="004C608B" w:rsidRPr="0068442A">
        <w:rPr>
          <w:rFonts w:ascii="Times New Roman" w:hAnsi="Times New Roman" w:cs="Times New Roman"/>
        </w:rPr>
        <w:t xml:space="preserve"> schooling compulsory after the first four years and give</w:t>
      </w:r>
      <w:r w:rsidR="00CC2486" w:rsidRPr="0068442A">
        <w:rPr>
          <w:rFonts w:ascii="Times New Roman" w:hAnsi="Times New Roman" w:cs="Times New Roman"/>
        </w:rPr>
        <w:t>s</w:t>
      </w:r>
      <w:r w:rsidR="00D23E9F" w:rsidRPr="0068442A">
        <w:rPr>
          <w:rFonts w:ascii="Times New Roman" w:hAnsi="Times New Roman" w:cs="Times New Roman"/>
        </w:rPr>
        <w:t xml:space="preserve"> conservative</w:t>
      </w:r>
      <w:r w:rsidR="004C608B" w:rsidRPr="0068442A">
        <w:rPr>
          <w:rFonts w:ascii="Times New Roman" w:hAnsi="Times New Roman" w:cs="Times New Roman"/>
        </w:rPr>
        <w:t xml:space="preserve"> families the flexibility</w:t>
      </w:r>
      <w:r w:rsidR="00D23E9F" w:rsidRPr="0068442A">
        <w:rPr>
          <w:rFonts w:ascii="Times New Roman" w:hAnsi="Times New Roman" w:cs="Times New Roman"/>
        </w:rPr>
        <w:t xml:space="preserve"> and the leverage</w:t>
      </w:r>
      <w:r w:rsidR="004C608B" w:rsidRPr="0068442A">
        <w:rPr>
          <w:rFonts w:ascii="Times New Roman" w:hAnsi="Times New Roman" w:cs="Times New Roman"/>
        </w:rPr>
        <w:t xml:space="preserve"> to not enrol their children</w:t>
      </w:r>
      <w:r w:rsidR="004E246F" w:rsidRPr="0068442A">
        <w:rPr>
          <w:rFonts w:ascii="Times New Roman" w:hAnsi="Times New Roman" w:cs="Times New Roman"/>
        </w:rPr>
        <w:t xml:space="preserve"> </w:t>
      </w:r>
      <w:r w:rsidR="00CC2486" w:rsidRPr="0068442A">
        <w:rPr>
          <w:rFonts w:ascii="Times New Roman" w:hAnsi="Times New Roman" w:cs="Times New Roman"/>
        </w:rPr>
        <w:t xml:space="preserve">in </w:t>
      </w:r>
      <w:r w:rsidR="004E246F" w:rsidRPr="0068442A">
        <w:rPr>
          <w:rFonts w:ascii="Times New Roman" w:hAnsi="Times New Roman" w:cs="Times New Roman"/>
        </w:rPr>
        <w:t>face</w:t>
      </w:r>
      <w:r w:rsidR="00544241" w:rsidRPr="0068442A">
        <w:rPr>
          <w:rFonts w:ascii="Times New Roman" w:hAnsi="Times New Roman" w:cs="Times New Roman"/>
        </w:rPr>
        <w:t>-</w:t>
      </w:r>
      <w:r w:rsidR="004E246F" w:rsidRPr="0068442A">
        <w:rPr>
          <w:rFonts w:ascii="Times New Roman" w:hAnsi="Times New Roman" w:cs="Times New Roman"/>
        </w:rPr>
        <w:t>to</w:t>
      </w:r>
      <w:r w:rsidR="00544241" w:rsidRPr="0068442A">
        <w:rPr>
          <w:rFonts w:ascii="Times New Roman" w:hAnsi="Times New Roman" w:cs="Times New Roman"/>
        </w:rPr>
        <w:t>-</w:t>
      </w:r>
      <w:r w:rsidR="004E246F" w:rsidRPr="0068442A">
        <w:rPr>
          <w:rFonts w:ascii="Times New Roman" w:hAnsi="Times New Roman" w:cs="Times New Roman"/>
        </w:rPr>
        <w:t>face education</w:t>
      </w:r>
      <w:r w:rsidR="004D18DE" w:rsidRPr="0068442A">
        <w:rPr>
          <w:rFonts w:ascii="Times New Roman" w:hAnsi="Times New Roman" w:cs="Times New Roman"/>
        </w:rPr>
        <w:t>—</w:t>
      </w:r>
      <w:r w:rsidR="004C608B" w:rsidRPr="0068442A">
        <w:rPr>
          <w:rFonts w:ascii="Times New Roman" w:hAnsi="Times New Roman" w:cs="Times New Roman"/>
        </w:rPr>
        <w:t>especially their daughters</w:t>
      </w:r>
      <w:r w:rsidR="004D18DE" w:rsidRPr="0068442A">
        <w:rPr>
          <w:rFonts w:ascii="Times New Roman" w:hAnsi="Times New Roman" w:cs="Times New Roman"/>
        </w:rPr>
        <w:t>—</w:t>
      </w:r>
      <w:r w:rsidR="004C608B" w:rsidRPr="0068442A">
        <w:rPr>
          <w:rFonts w:ascii="Times New Roman" w:hAnsi="Times New Roman" w:cs="Times New Roman"/>
        </w:rPr>
        <w:t>for middle school</w:t>
      </w:r>
      <w:r w:rsidR="002010B0" w:rsidRPr="0068442A">
        <w:rPr>
          <w:rFonts w:ascii="Times New Roman" w:hAnsi="Times New Roman" w:cs="Times New Roman"/>
        </w:rPr>
        <w:t xml:space="preserve"> </w:t>
      </w:r>
      <w:r w:rsidR="004C608B" w:rsidRPr="0068442A">
        <w:rPr>
          <w:rFonts w:ascii="Times New Roman" w:hAnsi="Times New Roman" w:cs="Times New Roman"/>
        </w:rPr>
        <w:t>(Egitim-Sen, 2013</w:t>
      </w:r>
      <w:r w:rsidR="00564BE0" w:rsidRPr="0068442A">
        <w:rPr>
          <w:rFonts w:ascii="Times New Roman" w:hAnsi="Times New Roman" w:cs="Times New Roman"/>
        </w:rPr>
        <w:t xml:space="preserve"> &amp; 2015</w:t>
      </w:r>
      <w:r w:rsidR="002010B0" w:rsidRPr="0068442A">
        <w:rPr>
          <w:rFonts w:ascii="Times New Roman" w:hAnsi="Times New Roman" w:cs="Times New Roman"/>
        </w:rPr>
        <w:t>).</w:t>
      </w:r>
      <w:r w:rsidR="004C608B" w:rsidRPr="0068442A">
        <w:rPr>
          <w:rFonts w:ascii="Times New Roman" w:hAnsi="Times New Roman" w:cs="Times New Roman"/>
        </w:rPr>
        <w:t xml:space="preserve"> </w:t>
      </w:r>
      <w:r w:rsidR="00B24803" w:rsidRPr="0068442A">
        <w:rPr>
          <w:rFonts w:ascii="Times New Roman" w:hAnsi="Times New Roman" w:cs="Times New Roman"/>
        </w:rPr>
        <w:t>However, the</w:t>
      </w:r>
      <w:r w:rsidR="009B2E4A" w:rsidRPr="0068442A">
        <w:rPr>
          <w:rFonts w:ascii="Times New Roman" w:hAnsi="Times New Roman" w:cs="Times New Roman"/>
        </w:rPr>
        <w:t xml:space="preserve"> M</w:t>
      </w:r>
      <w:r w:rsidR="00953516" w:rsidRPr="0068442A">
        <w:rPr>
          <w:rFonts w:ascii="Times New Roman" w:hAnsi="Times New Roman" w:cs="Times New Roman"/>
        </w:rPr>
        <w:t>o</w:t>
      </w:r>
      <w:r w:rsidR="009B2E4A" w:rsidRPr="0068442A">
        <w:rPr>
          <w:rFonts w:ascii="Times New Roman" w:hAnsi="Times New Roman" w:cs="Times New Roman"/>
        </w:rPr>
        <w:t xml:space="preserve">NE (2012) </w:t>
      </w:r>
      <w:r w:rsidR="00431866" w:rsidRPr="0068442A">
        <w:rPr>
          <w:rFonts w:ascii="Times New Roman" w:hAnsi="Times New Roman" w:cs="Times New Roman"/>
        </w:rPr>
        <w:t>denied the</w:t>
      </w:r>
      <w:r w:rsidR="00D23E9F" w:rsidRPr="0068442A">
        <w:rPr>
          <w:rFonts w:ascii="Times New Roman" w:hAnsi="Times New Roman" w:cs="Times New Roman"/>
        </w:rPr>
        <w:t>se allegations</w:t>
      </w:r>
      <w:r w:rsidR="00E71179">
        <w:rPr>
          <w:rFonts w:ascii="Times New Roman" w:hAnsi="Times New Roman" w:cs="Times New Roman"/>
        </w:rPr>
        <w:t>,</w:t>
      </w:r>
      <w:r w:rsidR="00D23E9F" w:rsidRPr="0068442A">
        <w:rPr>
          <w:rFonts w:ascii="Times New Roman" w:hAnsi="Times New Roman" w:cs="Times New Roman"/>
        </w:rPr>
        <w:t xml:space="preserve"> arguing </w:t>
      </w:r>
      <w:r w:rsidR="00D12F2F" w:rsidRPr="0068442A">
        <w:rPr>
          <w:rFonts w:ascii="Times New Roman" w:hAnsi="Times New Roman" w:cs="Times New Roman"/>
        </w:rPr>
        <w:t>that female</w:t>
      </w:r>
      <w:r w:rsidR="00903172" w:rsidRPr="0068442A">
        <w:rPr>
          <w:rFonts w:ascii="Times New Roman" w:hAnsi="Times New Roman" w:cs="Times New Roman"/>
        </w:rPr>
        <w:t xml:space="preserve"> students </w:t>
      </w:r>
      <w:r w:rsidR="00D23E9F" w:rsidRPr="0068442A">
        <w:rPr>
          <w:rFonts w:ascii="Times New Roman" w:hAnsi="Times New Roman" w:cs="Times New Roman"/>
        </w:rPr>
        <w:t xml:space="preserve">who </w:t>
      </w:r>
      <w:r w:rsidR="00903172" w:rsidRPr="0068442A">
        <w:rPr>
          <w:rFonts w:ascii="Times New Roman" w:hAnsi="Times New Roman" w:cs="Times New Roman"/>
        </w:rPr>
        <w:t>were not allowed to attend</w:t>
      </w:r>
      <w:r w:rsidR="00D23E9F" w:rsidRPr="0068442A">
        <w:rPr>
          <w:rFonts w:ascii="Times New Roman" w:hAnsi="Times New Roman" w:cs="Times New Roman"/>
        </w:rPr>
        <w:t xml:space="preserve"> schools with their headscarves</w:t>
      </w:r>
      <w:r w:rsidR="00E71179">
        <w:rPr>
          <w:rFonts w:ascii="Times New Roman" w:hAnsi="Times New Roman" w:cs="Times New Roman"/>
        </w:rPr>
        <w:t xml:space="preserve"> </w:t>
      </w:r>
      <w:r w:rsidR="00D23E9F" w:rsidRPr="0068442A">
        <w:rPr>
          <w:rFonts w:ascii="Times New Roman" w:hAnsi="Times New Roman" w:cs="Times New Roman"/>
        </w:rPr>
        <w:t xml:space="preserve">could now continue their education as the reform </w:t>
      </w:r>
      <w:r w:rsidR="00E71179">
        <w:rPr>
          <w:rFonts w:ascii="Times New Roman" w:hAnsi="Times New Roman" w:cs="Times New Roman"/>
        </w:rPr>
        <w:t xml:space="preserve">had </w:t>
      </w:r>
      <w:r w:rsidR="00903172" w:rsidRPr="0068442A">
        <w:rPr>
          <w:rFonts w:ascii="Times New Roman" w:hAnsi="Times New Roman" w:cs="Times New Roman"/>
        </w:rPr>
        <w:t>abolish</w:t>
      </w:r>
      <w:r w:rsidR="00D23E9F" w:rsidRPr="0068442A">
        <w:rPr>
          <w:rFonts w:ascii="Times New Roman" w:hAnsi="Times New Roman" w:cs="Times New Roman"/>
        </w:rPr>
        <w:t>ed</w:t>
      </w:r>
      <w:r w:rsidR="00903172" w:rsidRPr="0068442A">
        <w:rPr>
          <w:rFonts w:ascii="Times New Roman" w:hAnsi="Times New Roman" w:cs="Times New Roman"/>
        </w:rPr>
        <w:t xml:space="preserve"> this ban</w:t>
      </w:r>
      <w:r w:rsidR="004E246F" w:rsidRPr="0068442A">
        <w:rPr>
          <w:rFonts w:ascii="Times New Roman" w:hAnsi="Times New Roman" w:cs="Times New Roman"/>
        </w:rPr>
        <w:t xml:space="preserve"> (from primary </w:t>
      </w:r>
      <w:r w:rsidR="007F028B" w:rsidRPr="0068442A">
        <w:rPr>
          <w:rFonts w:ascii="Times New Roman" w:hAnsi="Times New Roman" w:cs="Times New Roman"/>
        </w:rPr>
        <w:t xml:space="preserve">school </w:t>
      </w:r>
      <w:r w:rsidR="00D23E9F" w:rsidRPr="0068442A">
        <w:rPr>
          <w:rFonts w:ascii="Times New Roman" w:hAnsi="Times New Roman" w:cs="Times New Roman"/>
        </w:rPr>
        <w:t>onwards), which could be read as</w:t>
      </w:r>
      <w:r w:rsidR="00903172" w:rsidRPr="0068442A">
        <w:rPr>
          <w:rFonts w:ascii="Times New Roman" w:hAnsi="Times New Roman" w:cs="Times New Roman"/>
        </w:rPr>
        <w:t xml:space="preserve"> a positive step towards girls’ schooling</w:t>
      </w:r>
      <w:r w:rsidR="00D23E9F" w:rsidRPr="0068442A">
        <w:rPr>
          <w:rFonts w:ascii="Times New Roman" w:hAnsi="Times New Roman" w:cs="Times New Roman"/>
        </w:rPr>
        <w:t xml:space="preserve"> and alleviating the concerns of pious families</w:t>
      </w:r>
      <w:r w:rsidR="00903172" w:rsidRPr="0068442A">
        <w:rPr>
          <w:rFonts w:ascii="Times New Roman" w:hAnsi="Times New Roman" w:cs="Times New Roman"/>
        </w:rPr>
        <w:t>.</w:t>
      </w:r>
      <w:r w:rsidR="0066109E" w:rsidRPr="0068442A">
        <w:rPr>
          <w:rFonts w:ascii="Times New Roman" w:hAnsi="Times New Roman" w:cs="Times New Roman"/>
        </w:rPr>
        <w:t xml:space="preserve"> </w:t>
      </w:r>
      <w:r w:rsidR="00296D72" w:rsidRPr="0068442A">
        <w:rPr>
          <w:rFonts w:ascii="Times New Roman" w:hAnsi="Times New Roman" w:cs="Times New Roman"/>
        </w:rPr>
        <w:t xml:space="preserve">Drawing </w:t>
      </w:r>
      <w:r w:rsidR="00E71179">
        <w:rPr>
          <w:rFonts w:ascii="Times New Roman" w:hAnsi="Times New Roman" w:cs="Times New Roman"/>
        </w:rPr>
        <w:t>on</w:t>
      </w:r>
      <w:r w:rsidR="00E71179" w:rsidRPr="0068442A">
        <w:rPr>
          <w:rFonts w:ascii="Times New Roman" w:hAnsi="Times New Roman" w:cs="Times New Roman"/>
        </w:rPr>
        <w:t xml:space="preserve"> </w:t>
      </w:r>
      <w:r w:rsidR="00296D72" w:rsidRPr="0068442A">
        <w:rPr>
          <w:rFonts w:ascii="Times New Roman" w:hAnsi="Times New Roman" w:cs="Times New Roman"/>
        </w:rPr>
        <w:t>this</w:t>
      </w:r>
      <w:r w:rsidR="00C2656A" w:rsidRPr="0068442A">
        <w:rPr>
          <w:rFonts w:ascii="Times New Roman" w:hAnsi="Times New Roman" w:cs="Times New Roman"/>
        </w:rPr>
        <w:t xml:space="preserve"> controversial</w:t>
      </w:r>
      <w:r w:rsidR="00296D72" w:rsidRPr="0068442A">
        <w:rPr>
          <w:rFonts w:ascii="Times New Roman" w:hAnsi="Times New Roman" w:cs="Times New Roman"/>
        </w:rPr>
        <w:t xml:space="preserve"> debate</w:t>
      </w:r>
      <w:r w:rsidR="00C2656A" w:rsidRPr="0068442A">
        <w:rPr>
          <w:rFonts w:ascii="Times New Roman" w:hAnsi="Times New Roman" w:cs="Times New Roman"/>
        </w:rPr>
        <w:t xml:space="preserve"> on girls’ schooling</w:t>
      </w:r>
      <w:r w:rsidR="00296D72" w:rsidRPr="0068442A">
        <w:rPr>
          <w:rFonts w:ascii="Times New Roman" w:hAnsi="Times New Roman" w:cs="Times New Roman"/>
        </w:rPr>
        <w:t xml:space="preserve">, </w:t>
      </w:r>
      <w:r w:rsidR="007317DC" w:rsidRPr="0068442A">
        <w:rPr>
          <w:rFonts w:ascii="Times New Roman" w:hAnsi="Times New Roman" w:cs="Times New Roman"/>
        </w:rPr>
        <w:t xml:space="preserve">our aim is not to outline the problems of the reform but to analyse it </w:t>
      </w:r>
      <w:r w:rsidR="00296D72" w:rsidRPr="0068442A">
        <w:rPr>
          <w:rFonts w:ascii="Times New Roman" w:hAnsi="Times New Roman" w:cs="Times New Roman"/>
        </w:rPr>
        <w:t xml:space="preserve">from a capabilities-based gender equality theoretical lens to </w:t>
      </w:r>
      <w:r w:rsidR="007317DC" w:rsidRPr="0068442A">
        <w:rPr>
          <w:rFonts w:ascii="Times New Roman" w:hAnsi="Times New Roman" w:cs="Times New Roman"/>
        </w:rPr>
        <w:t>understand</w:t>
      </w:r>
      <w:r w:rsidR="00296D72" w:rsidRPr="0068442A">
        <w:rPr>
          <w:rFonts w:ascii="Times New Roman" w:hAnsi="Times New Roman" w:cs="Times New Roman"/>
        </w:rPr>
        <w:t xml:space="preserve"> </w:t>
      </w:r>
      <w:r w:rsidR="00A2492C" w:rsidRPr="0068442A">
        <w:rPr>
          <w:rFonts w:ascii="Times New Roman" w:hAnsi="Times New Roman" w:cs="Times New Roman"/>
        </w:rPr>
        <w:t>its implications</w:t>
      </w:r>
      <w:r w:rsidR="00296D72" w:rsidRPr="0068442A">
        <w:rPr>
          <w:rFonts w:ascii="Times New Roman" w:hAnsi="Times New Roman" w:cs="Times New Roman"/>
        </w:rPr>
        <w:t xml:space="preserve"> for promoting gender equality </w:t>
      </w:r>
      <w:r w:rsidR="004E246F" w:rsidRPr="0068442A">
        <w:rPr>
          <w:rFonts w:ascii="Times New Roman" w:hAnsi="Times New Roman" w:cs="Times New Roman"/>
        </w:rPr>
        <w:t xml:space="preserve">beyond </w:t>
      </w:r>
      <w:r w:rsidR="00E71179">
        <w:rPr>
          <w:rFonts w:ascii="Times New Roman" w:hAnsi="Times New Roman" w:cs="Times New Roman"/>
        </w:rPr>
        <w:t>merely</w:t>
      </w:r>
      <w:r w:rsidR="00E71179" w:rsidRPr="0068442A">
        <w:rPr>
          <w:rFonts w:ascii="Times New Roman" w:hAnsi="Times New Roman" w:cs="Times New Roman"/>
        </w:rPr>
        <w:t xml:space="preserve"> </w:t>
      </w:r>
      <w:r w:rsidR="004E246F" w:rsidRPr="0068442A">
        <w:rPr>
          <w:rFonts w:ascii="Times New Roman" w:hAnsi="Times New Roman" w:cs="Times New Roman"/>
        </w:rPr>
        <w:t>numerical concerns</w:t>
      </w:r>
      <w:r w:rsidR="00296D72" w:rsidRPr="0068442A">
        <w:rPr>
          <w:rFonts w:ascii="Times New Roman" w:hAnsi="Times New Roman" w:cs="Times New Roman"/>
        </w:rPr>
        <w:t xml:space="preserve">. </w:t>
      </w:r>
      <w:r w:rsidR="00A2492C" w:rsidRPr="0068442A">
        <w:rPr>
          <w:rFonts w:ascii="Times New Roman" w:hAnsi="Times New Roman" w:cs="Times New Roman"/>
        </w:rPr>
        <w:t>To date</w:t>
      </w:r>
      <w:r w:rsidR="00296D72" w:rsidRPr="0068442A">
        <w:rPr>
          <w:rFonts w:ascii="Times New Roman" w:hAnsi="Times New Roman" w:cs="Times New Roman"/>
        </w:rPr>
        <w:t xml:space="preserve">, </w:t>
      </w:r>
      <w:r w:rsidR="003912D7">
        <w:rPr>
          <w:rFonts w:ascii="Times New Roman" w:hAnsi="Times New Roman" w:cs="Times New Roman"/>
        </w:rPr>
        <w:t xml:space="preserve">a </w:t>
      </w:r>
      <w:r w:rsidR="0015408F">
        <w:rPr>
          <w:rFonts w:ascii="Times New Roman" w:hAnsi="Times New Roman" w:cs="Times New Roman"/>
        </w:rPr>
        <w:t>handful of</w:t>
      </w:r>
      <w:r w:rsidR="0015408F" w:rsidRPr="0068442A">
        <w:rPr>
          <w:rFonts w:ascii="Times New Roman" w:hAnsi="Times New Roman" w:cs="Times New Roman"/>
        </w:rPr>
        <w:t xml:space="preserve"> </w:t>
      </w:r>
      <w:r w:rsidR="00A2492C" w:rsidRPr="0068442A">
        <w:rPr>
          <w:rFonts w:ascii="Times New Roman" w:hAnsi="Times New Roman" w:cs="Times New Roman"/>
        </w:rPr>
        <w:t xml:space="preserve">researchers have analysed and critiqued </w:t>
      </w:r>
      <w:r w:rsidR="00296D72" w:rsidRPr="0068442A">
        <w:rPr>
          <w:rFonts w:ascii="Times New Roman" w:hAnsi="Times New Roman" w:cs="Times New Roman"/>
        </w:rPr>
        <w:t xml:space="preserve">the reform </w:t>
      </w:r>
      <w:r w:rsidR="004E4214" w:rsidRPr="0068442A">
        <w:rPr>
          <w:rFonts w:ascii="Times New Roman" w:hAnsi="Times New Roman" w:cs="Times New Roman"/>
        </w:rPr>
        <w:t xml:space="preserve">(Gün </w:t>
      </w:r>
      <w:r w:rsidR="00950B95" w:rsidRPr="0068442A">
        <w:rPr>
          <w:rFonts w:ascii="Times New Roman" w:hAnsi="Times New Roman" w:cs="Times New Roman"/>
        </w:rPr>
        <w:t xml:space="preserve">&amp; </w:t>
      </w:r>
      <w:r w:rsidR="004E4214" w:rsidRPr="0068442A">
        <w:rPr>
          <w:rFonts w:ascii="Times New Roman" w:hAnsi="Times New Roman" w:cs="Times New Roman"/>
        </w:rPr>
        <w:t>Ba</w:t>
      </w:r>
      <w:r w:rsidR="00501F33" w:rsidRPr="0068442A">
        <w:rPr>
          <w:rFonts w:ascii="Times New Roman" w:hAnsi="Times New Roman" w:cs="Times New Roman"/>
        </w:rPr>
        <w:t xml:space="preserve">skan 2014; Okcabol, </w:t>
      </w:r>
      <w:r w:rsidR="00C2656A" w:rsidRPr="0068442A">
        <w:rPr>
          <w:rFonts w:ascii="Times New Roman" w:hAnsi="Times New Roman" w:cs="Times New Roman"/>
        </w:rPr>
        <w:t>2013</w:t>
      </w:r>
      <w:r w:rsidR="007317DC" w:rsidRPr="0068442A">
        <w:rPr>
          <w:rFonts w:ascii="Times New Roman" w:hAnsi="Times New Roman" w:cs="Times New Roman"/>
        </w:rPr>
        <w:t xml:space="preserve">) </w:t>
      </w:r>
      <w:r w:rsidR="003912D7">
        <w:rPr>
          <w:rFonts w:ascii="Times New Roman" w:hAnsi="Times New Roman" w:cs="Times New Roman"/>
        </w:rPr>
        <w:t>through</w:t>
      </w:r>
      <w:r w:rsidR="003912D7" w:rsidRPr="0068442A">
        <w:rPr>
          <w:rFonts w:ascii="Times New Roman" w:hAnsi="Times New Roman" w:cs="Times New Roman"/>
        </w:rPr>
        <w:t xml:space="preserve"> </w:t>
      </w:r>
      <w:r w:rsidR="007317DC" w:rsidRPr="0068442A">
        <w:rPr>
          <w:rFonts w:ascii="Times New Roman" w:hAnsi="Times New Roman" w:cs="Times New Roman"/>
        </w:rPr>
        <w:t>review</w:t>
      </w:r>
      <w:r w:rsidR="003912D7">
        <w:rPr>
          <w:rFonts w:ascii="Times New Roman" w:hAnsi="Times New Roman" w:cs="Times New Roman"/>
        </w:rPr>
        <w:t>ing</w:t>
      </w:r>
      <w:r w:rsidR="003912D7" w:rsidRPr="0068442A">
        <w:rPr>
          <w:rFonts w:ascii="Times New Roman" w:hAnsi="Times New Roman" w:cs="Times New Roman"/>
        </w:rPr>
        <w:t xml:space="preserve"> </w:t>
      </w:r>
      <w:r w:rsidR="005B10D9" w:rsidRPr="0068442A">
        <w:rPr>
          <w:rFonts w:ascii="Times New Roman" w:hAnsi="Times New Roman" w:cs="Times New Roman"/>
        </w:rPr>
        <w:t>the changes the 4+ introduced</w:t>
      </w:r>
      <w:r w:rsidR="00A2492C" w:rsidRPr="0068442A">
        <w:rPr>
          <w:rFonts w:ascii="Times New Roman" w:hAnsi="Times New Roman" w:cs="Times New Roman"/>
        </w:rPr>
        <w:t>,</w:t>
      </w:r>
      <w:r w:rsidR="005B10D9" w:rsidRPr="0068442A">
        <w:rPr>
          <w:rFonts w:ascii="Times New Roman" w:hAnsi="Times New Roman" w:cs="Times New Roman"/>
        </w:rPr>
        <w:t xml:space="preserve"> b</w:t>
      </w:r>
      <w:r w:rsidR="00296D72" w:rsidRPr="0068442A">
        <w:rPr>
          <w:rFonts w:ascii="Times New Roman" w:hAnsi="Times New Roman" w:cs="Times New Roman"/>
        </w:rPr>
        <w:t xml:space="preserve">ut a gender based analysis and understanding has not </w:t>
      </w:r>
      <w:r w:rsidR="00A2492C" w:rsidRPr="0068442A">
        <w:rPr>
          <w:rFonts w:ascii="Times New Roman" w:hAnsi="Times New Roman" w:cs="Times New Roman"/>
        </w:rPr>
        <w:t xml:space="preserve">yet </w:t>
      </w:r>
      <w:r w:rsidR="00296D72" w:rsidRPr="0068442A">
        <w:rPr>
          <w:rFonts w:ascii="Times New Roman" w:hAnsi="Times New Roman" w:cs="Times New Roman"/>
        </w:rPr>
        <w:t xml:space="preserve">been presented. </w:t>
      </w:r>
      <w:r w:rsidR="00C2656A" w:rsidRPr="0068442A">
        <w:rPr>
          <w:rFonts w:ascii="Times New Roman" w:hAnsi="Times New Roman" w:cs="Times New Roman"/>
        </w:rPr>
        <w:t>Therefore, this study aims to provide one of the first</w:t>
      </w:r>
      <w:r w:rsidR="007317DC" w:rsidRPr="0068442A">
        <w:rPr>
          <w:rFonts w:ascii="Times New Roman" w:hAnsi="Times New Roman" w:cs="Times New Roman"/>
        </w:rPr>
        <w:t xml:space="preserve"> feminist analys</w:t>
      </w:r>
      <w:r w:rsidR="004E2805">
        <w:rPr>
          <w:rFonts w:ascii="Times New Roman" w:hAnsi="Times New Roman" w:cs="Times New Roman"/>
        </w:rPr>
        <w:t>e</w:t>
      </w:r>
      <w:r w:rsidR="007317DC" w:rsidRPr="0068442A">
        <w:rPr>
          <w:rFonts w:ascii="Times New Roman" w:hAnsi="Times New Roman" w:cs="Times New Roman"/>
        </w:rPr>
        <w:t>s of the reform</w:t>
      </w:r>
      <w:r w:rsidR="00C2656A" w:rsidRPr="0068442A">
        <w:rPr>
          <w:rFonts w:ascii="Times New Roman" w:hAnsi="Times New Roman" w:cs="Times New Roman"/>
        </w:rPr>
        <w:t xml:space="preserve">. </w:t>
      </w:r>
      <w:r w:rsidR="007317DC" w:rsidRPr="0068442A">
        <w:rPr>
          <w:rFonts w:ascii="Times New Roman" w:hAnsi="Times New Roman" w:cs="Times New Roman"/>
        </w:rPr>
        <w:t xml:space="preserve">We now turn to </w:t>
      </w:r>
      <w:r w:rsidR="00A835CA" w:rsidRPr="0068442A">
        <w:rPr>
          <w:rFonts w:ascii="Times New Roman" w:hAnsi="Times New Roman" w:cs="Times New Roman"/>
        </w:rPr>
        <w:t>a</w:t>
      </w:r>
      <w:r w:rsidR="007317DC" w:rsidRPr="0068442A">
        <w:rPr>
          <w:rFonts w:ascii="Times New Roman" w:hAnsi="Times New Roman" w:cs="Times New Roman"/>
        </w:rPr>
        <w:t xml:space="preserve"> </w:t>
      </w:r>
      <w:r w:rsidR="004E4214" w:rsidRPr="0068442A">
        <w:rPr>
          <w:rFonts w:ascii="Times New Roman" w:hAnsi="Times New Roman" w:cs="Times New Roman"/>
        </w:rPr>
        <w:t>discussion o</w:t>
      </w:r>
      <w:r w:rsidR="004E2805">
        <w:rPr>
          <w:rFonts w:ascii="Times New Roman" w:hAnsi="Times New Roman" w:cs="Times New Roman"/>
        </w:rPr>
        <w:t xml:space="preserve">f a </w:t>
      </w:r>
      <w:r w:rsidR="00296D72" w:rsidRPr="0068442A">
        <w:rPr>
          <w:rFonts w:ascii="Times New Roman" w:hAnsi="Times New Roman" w:cs="Times New Roman"/>
        </w:rPr>
        <w:t>capabilities-friendly conceptuali</w:t>
      </w:r>
      <w:r w:rsidR="0050617E" w:rsidRPr="0068442A">
        <w:rPr>
          <w:rFonts w:ascii="Times New Roman" w:hAnsi="Times New Roman" w:cs="Times New Roman"/>
        </w:rPr>
        <w:t>s</w:t>
      </w:r>
      <w:r w:rsidR="00296D72" w:rsidRPr="0068442A">
        <w:rPr>
          <w:rFonts w:ascii="Times New Roman" w:hAnsi="Times New Roman" w:cs="Times New Roman"/>
        </w:rPr>
        <w:t xml:space="preserve">ation of gender equality in education and how such </w:t>
      </w:r>
      <w:r w:rsidR="00A835CA" w:rsidRPr="0068442A">
        <w:rPr>
          <w:rFonts w:ascii="Times New Roman" w:hAnsi="Times New Roman" w:cs="Times New Roman"/>
        </w:rPr>
        <w:t xml:space="preserve">an </w:t>
      </w:r>
      <w:r w:rsidR="00296D72" w:rsidRPr="0068442A">
        <w:rPr>
          <w:rFonts w:ascii="Times New Roman" w:hAnsi="Times New Roman" w:cs="Times New Roman"/>
        </w:rPr>
        <w:t xml:space="preserve">understanding can </w:t>
      </w:r>
      <w:r w:rsidR="00A835CA" w:rsidRPr="0068442A">
        <w:rPr>
          <w:rFonts w:ascii="Times New Roman" w:hAnsi="Times New Roman" w:cs="Times New Roman"/>
        </w:rPr>
        <w:t xml:space="preserve">have an </w:t>
      </w:r>
      <w:r w:rsidR="00296D72" w:rsidRPr="0068442A">
        <w:rPr>
          <w:rFonts w:ascii="Times New Roman" w:hAnsi="Times New Roman" w:cs="Times New Roman"/>
        </w:rPr>
        <w:t>impact on policy.</w:t>
      </w:r>
      <w:r w:rsidR="0066109E" w:rsidRPr="0068442A">
        <w:rPr>
          <w:rFonts w:ascii="Times New Roman" w:hAnsi="Times New Roman" w:cs="Times New Roman"/>
        </w:rPr>
        <w:t xml:space="preserve"> </w:t>
      </w:r>
    </w:p>
    <w:p w14:paraId="61A70186" w14:textId="5A76829E" w:rsidR="00CD719A" w:rsidRPr="0068442A" w:rsidRDefault="00CD719A" w:rsidP="00BF1E10">
      <w:pPr>
        <w:spacing w:line="360" w:lineRule="auto"/>
        <w:jc w:val="both"/>
        <w:rPr>
          <w:rFonts w:ascii="Times New Roman" w:hAnsi="Times New Roman" w:cs="Times New Roman"/>
          <w:b/>
          <w:i/>
        </w:rPr>
      </w:pPr>
      <w:r w:rsidRPr="0068442A">
        <w:rPr>
          <w:rFonts w:ascii="Times New Roman" w:hAnsi="Times New Roman" w:cs="Times New Roman"/>
          <w:b/>
          <w:i/>
        </w:rPr>
        <w:t>Conceptualisations</w:t>
      </w:r>
      <w:r w:rsidR="00957F45" w:rsidRPr="0068442A">
        <w:rPr>
          <w:rFonts w:ascii="Times New Roman" w:hAnsi="Times New Roman" w:cs="Times New Roman"/>
          <w:b/>
          <w:i/>
        </w:rPr>
        <w:t xml:space="preserve"> of </w:t>
      </w:r>
      <w:r w:rsidR="0013027F" w:rsidRPr="0068442A">
        <w:rPr>
          <w:rFonts w:ascii="Times New Roman" w:hAnsi="Times New Roman" w:cs="Times New Roman"/>
          <w:b/>
          <w:i/>
        </w:rPr>
        <w:t>g</w:t>
      </w:r>
      <w:r w:rsidR="00957F45" w:rsidRPr="0068442A">
        <w:rPr>
          <w:rFonts w:ascii="Times New Roman" w:hAnsi="Times New Roman" w:cs="Times New Roman"/>
          <w:b/>
          <w:i/>
        </w:rPr>
        <w:t xml:space="preserve">ender </w:t>
      </w:r>
      <w:r w:rsidR="0013027F" w:rsidRPr="0068442A">
        <w:rPr>
          <w:rFonts w:ascii="Times New Roman" w:hAnsi="Times New Roman" w:cs="Times New Roman"/>
          <w:b/>
          <w:i/>
        </w:rPr>
        <w:t>e</w:t>
      </w:r>
      <w:r w:rsidR="00957F45" w:rsidRPr="0068442A">
        <w:rPr>
          <w:rFonts w:ascii="Times New Roman" w:hAnsi="Times New Roman" w:cs="Times New Roman"/>
          <w:b/>
          <w:i/>
        </w:rPr>
        <w:t xml:space="preserve">quality in </w:t>
      </w:r>
      <w:r w:rsidR="0013027F" w:rsidRPr="0068442A">
        <w:rPr>
          <w:rFonts w:ascii="Times New Roman" w:hAnsi="Times New Roman" w:cs="Times New Roman"/>
          <w:b/>
          <w:i/>
        </w:rPr>
        <w:t>e</w:t>
      </w:r>
      <w:r w:rsidR="00957F45" w:rsidRPr="0068442A">
        <w:rPr>
          <w:rFonts w:ascii="Times New Roman" w:hAnsi="Times New Roman" w:cs="Times New Roman"/>
          <w:b/>
          <w:i/>
        </w:rPr>
        <w:t xml:space="preserve">ducation and </w:t>
      </w:r>
      <w:r w:rsidR="0013027F" w:rsidRPr="0068442A">
        <w:rPr>
          <w:rFonts w:ascii="Times New Roman" w:hAnsi="Times New Roman" w:cs="Times New Roman"/>
          <w:b/>
          <w:i/>
        </w:rPr>
        <w:t>p</w:t>
      </w:r>
      <w:r w:rsidR="00957F45" w:rsidRPr="0068442A">
        <w:rPr>
          <w:rFonts w:ascii="Times New Roman" w:hAnsi="Times New Roman" w:cs="Times New Roman"/>
          <w:b/>
          <w:i/>
        </w:rPr>
        <w:t xml:space="preserve">olicy </w:t>
      </w:r>
      <w:r w:rsidR="0013027F" w:rsidRPr="0068442A">
        <w:rPr>
          <w:rFonts w:ascii="Times New Roman" w:hAnsi="Times New Roman" w:cs="Times New Roman"/>
          <w:b/>
          <w:i/>
        </w:rPr>
        <w:t>g</w:t>
      </w:r>
      <w:r w:rsidR="00957F45" w:rsidRPr="0068442A">
        <w:rPr>
          <w:rFonts w:ascii="Times New Roman" w:hAnsi="Times New Roman" w:cs="Times New Roman"/>
          <w:b/>
          <w:i/>
        </w:rPr>
        <w:t>oals</w:t>
      </w:r>
    </w:p>
    <w:p w14:paraId="53E18D57" w14:textId="0D581FE5" w:rsidR="0082048E" w:rsidRPr="0068442A" w:rsidRDefault="00CD719A" w:rsidP="00BF1E10">
      <w:pPr>
        <w:autoSpaceDE w:val="0"/>
        <w:autoSpaceDN w:val="0"/>
        <w:adjustRightInd w:val="0"/>
        <w:spacing w:after="0" w:line="360" w:lineRule="auto"/>
        <w:jc w:val="both"/>
        <w:rPr>
          <w:rFonts w:ascii="Times New Roman" w:hAnsi="Times New Roman" w:cs="Times New Roman"/>
        </w:rPr>
      </w:pPr>
      <w:r w:rsidRPr="0068442A">
        <w:rPr>
          <w:rFonts w:ascii="Times New Roman" w:hAnsi="Times New Roman" w:cs="Times New Roman"/>
        </w:rPr>
        <w:t>Gender is an underpinning rationale</w:t>
      </w:r>
      <w:r w:rsidR="00F60433" w:rsidRPr="0068442A">
        <w:rPr>
          <w:rFonts w:ascii="Times New Roman" w:hAnsi="Times New Roman" w:cs="Times New Roman"/>
        </w:rPr>
        <w:t xml:space="preserve"> that determines how </w:t>
      </w:r>
      <w:r w:rsidR="001B2BB3" w:rsidRPr="0068442A">
        <w:rPr>
          <w:rFonts w:ascii="Times New Roman" w:hAnsi="Times New Roman" w:cs="Times New Roman"/>
        </w:rPr>
        <w:t>gender equality is conceptuali</w:t>
      </w:r>
      <w:r w:rsidR="0050617E" w:rsidRPr="0068442A">
        <w:rPr>
          <w:rFonts w:ascii="Times New Roman" w:hAnsi="Times New Roman" w:cs="Times New Roman"/>
        </w:rPr>
        <w:t>s</w:t>
      </w:r>
      <w:r w:rsidR="001B2BB3" w:rsidRPr="0068442A">
        <w:rPr>
          <w:rFonts w:ascii="Times New Roman" w:hAnsi="Times New Roman" w:cs="Times New Roman"/>
        </w:rPr>
        <w:t xml:space="preserve">ed </w:t>
      </w:r>
      <w:r w:rsidR="004F2813" w:rsidRPr="0068442A">
        <w:rPr>
          <w:rFonts w:ascii="Times New Roman" w:hAnsi="Times New Roman" w:cs="Times New Roman"/>
        </w:rPr>
        <w:t xml:space="preserve">and approached </w:t>
      </w:r>
      <w:r w:rsidR="005009F4" w:rsidRPr="0068442A">
        <w:rPr>
          <w:rFonts w:ascii="Times New Roman" w:hAnsi="Times New Roman" w:cs="Times New Roman"/>
        </w:rPr>
        <w:t>in education and it manifests itself in t</w:t>
      </w:r>
      <w:r w:rsidR="00D71C2A" w:rsidRPr="0068442A">
        <w:rPr>
          <w:rFonts w:ascii="Times New Roman" w:hAnsi="Times New Roman" w:cs="Times New Roman"/>
        </w:rPr>
        <w:t>hree</w:t>
      </w:r>
      <w:r w:rsidR="000C70B9" w:rsidRPr="0068442A">
        <w:rPr>
          <w:rFonts w:ascii="Times New Roman" w:hAnsi="Times New Roman" w:cs="Times New Roman"/>
        </w:rPr>
        <w:t xml:space="preserve"> frameworks</w:t>
      </w:r>
      <w:r w:rsidR="00402409">
        <w:rPr>
          <w:rFonts w:ascii="Times New Roman" w:hAnsi="Times New Roman" w:cs="Times New Roman"/>
        </w:rPr>
        <w:t>—</w:t>
      </w:r>
      <w:r w:rsidR="000C70B9" w:rsidRPr="0068442A">
        <w:rPr>
          <w:rFonts w:ascii="Times New Roman" w:hAnsi="Times New Roman" w:cs="Times New Roman"/>
        </w:rPr>
        <w:t>human capital, human rights and human development</w:t>
      </w:r>
      <w:r w:rsidR="00402409">
        <w:rPr>
          <w:rFonts w:ascii="Times New Roman" w:hAnsi="Times New Roman" w:cs="Times New Roman"/>
        </w:rPr>
        <w:t xml:space="preserve"> (</w:t>
      </w:r>
      <w:r w:rsidR="000C70B9" w:rsidRPr="0068442A">
        <w:rPr>
          <w:rFonts w:ascii="Times New Roman" w:hAnsi="Times New Roman" w:cs="Times New Roman"/>
        </w:rPr>
        <w:t>mainly capabilities</w:t>
      </w:r>
      <w:r w:rsidR="005C5EB6" w:rsidRPr="0068442A">
        <w:rPr>
          <w:rFonts w:ascii="Times New Roman" w:hAnsi="Times New Roman" w:cs="Times New Roman"/>
        </w:rPr>
        <w:t>)</w:t>
      </w:r>
      <w:r w:rsidR="00402409">
        <w:rPr>
          <w:rFonts w:ascii="Times New Roman" w:hAnsi="Times New Roman" w:cs="Times New Roman"/>
        </w:rPr>
        <w:t>—</w:t>
      </w:r>
      <w:r w:rsidR="005D54F5" w:rsidRPr="0068442A">
        <w:rPr>
          <w:rFonts w:ascii="Times New Roman" w:hAnsi="Times New Roman" w:cs="Times New Roman"/>
        </w:rPr>
        <w:t xml:space="preserve">that </w:t>
      </w:r>
      <w:r w:rsidR="00C2656A" w:rsidRPr="0068442A">
        <w:rPr>
          <w:rFonts w:ascii="Times New Roman" w:hAnsi="Times New Roman" w:cs="Times New Roman"/>
          <w:color w:val="000000"/>
        </w:rPr>
        <w:t>play a</w:t>
      </w:r>
      <w:r w:rsidR="000C70B9" w:rsidRPr="0068442A">
        <w:rPr>
          <w:rFonts w:ascii="Times New Roman" w:hAnsi="Times New Roman" w:cs="Times New Roman"/>
          <w:color w:val="000000"/>
        </w:rPr>
        <w:t xml:space="preserve"> key role in shaping</w:t>
      </w:r>
      <w:r w:rsidR="00C2656A" w:rsidRPr="0068442A">
        <w:rPr>
          <w:rFonts w:ascii="Times New Roman" w:hAnsi="Times New Roman" w:cs="Times New Roman"/>
          <w:color w:val="000000"/>
        </w:rPr>
        <w:t xml:space="preserve"> international legislation, documents</w:t>
      </w:r>
      <w:r w:rsidR="00790A5F" w:rsidRPr="0068442A">
        <w:rPr>
          <w:rFonts w:ascii="Times New Roman" w:hAnsi="Times New Roman" w:cs="Times New Roman"/>
          <w:color w:val="000000"/>
        </w:rPr>
        <w:t>,</w:t>
      </w:r>
      <w:r w:rsidR="00C2656A" w:rsidRPr="0068442A">
        <w:rPr>
          <w:rFonts w:ascii="Times New Roman" w:hAnsi="Times New Roman" w:cs="Times New Roman"/>
          <w:color w:val="000000"/>
        </w:rPr>
        <w:t xml:space="preserve"> and</w:t>
      </w:r>
      <w:r w:rsidR="000C70B9" w:rsidRPr="0068442A">
        <w:rPr>
          <w:rFonts w:ascii="Times New Roman" w:hAnsi="Times New Roman" w:cs="Times New Roman"/>
          <w:color w:val="000000"/>
        </w:rPr>
        <w:t xml:space="preserve"> governments’ understanding of gender </w:t>
      </w:r>
      <w:r w:rsidR="00704F6E" w:rsidRPr="0068442A">
        <w:rPr>
          <w:rFonts w:ascii="Times New Roman" w:hAnsi="Times New Roman" w:cs="Times New Roman"/>
          <w:color w:val="000000"/>
        </w:rPr>
        <w:t xml:space="preserve">and gender </w:t>
      </w:r>
      <w:r w:rsidR="000C70B9" w:rsidRPr="0068442A">
        <w:rPr>
          <w:rFonts w:ascii="Times New Roman" w:hAnsi="Times New Roman" w:cs="Times New Roman"/>
          <w:color w:val="000000"/>
        </w:rPr>
        <w:t>equality in education.</w:t>
      </w:r>
      <w:r w:rsidR="000C70B9" w:rsidRPr="0068442A">
        <w:rPr>
          <w:rFonts w:ascii="Times New Roman" w:hAnsi="Times New Roman" w:cs="Times New Roman"/>
        </w:rPr>
        <w:t xml:space="preserve"> </w:t>
      </w:r>
      <w:r w:rsidR="00D71C2A" w:rsidRPr="0068442A">
        <w:rPr>
          <w:rFonts w:ascii="Times New Roman" w:hAnsi="Times New Roman" w:cs="Times New Roman"/>
        </w:rPr>
        <w:t xml:space="preserve">Each of these frameworks </w:t>
      </w:r>
      <w:r w:rsidR="004A318D" w:rsidRPr="0068442A">
        <w:rPr>
          <w:rFonts w:ascii="Times New Roman" w:hAnsi="Times New Roman" w:cs="Times New Roman"/>
        </w:rPr>
        <w:t xml:space="preserve">features </w:t>
      </w:r>
      <w:r w:rsidR="00D71C2A" w:rsidRPr="0068442A">
        <w:rPr>
          <w:rFonts w:ascii="Times New Roman" w:hAnsi="Times New Roman" w:cs="Times New Roman"/>
        </w:rPr>
        <w:t xml:space="preserve">a </w:t>
      </w:r>
      <w:r w:rsidR="004A318D" w:rsidRPr="0068442A">
        <w:rPr>
          <w:rFonts w:ascii="Times New Roman" w:hAnsi="Times New Roman" w:cs="Times New Roman"/>
        </w:rPr>
        <w:t>different—</w:t>
      </w:r>
      <w:r w:rsidR="00D71C2A" w:rsidRPr="0068442A">
        <w:rPr>
          <w:rFonts w:ascii="Times New Roman" w:hAnsi="Times New Roman" w:cs="Times New Roman"/>
        </w:rPr>
        <w:t>competing</w:t>
      </w:r>
      <w:r w:rsidR="004A318D" w:rsidRPr="0068442A">
        <w:rPr>
          <w:rFonts w:ascii="Times New Roman" w:hAnsi="Times New Roman" w:cs="Times New Roman"/>
        </w:rPr>
        <w:t>,</w:t>
      </w:r>
      <w:r w:rsidR="00D71C2A" w:rsidRPr="0068442A">
        <w:rPr>
          <w:rFonts w:ascii="Times New Roman" w:hAnsi="Times New Roman" w:cs="Times New Roman"/>
        </w:rPr>
        <w:t xml:space="preserve"> yet complementary</w:t>
      </w:r>
      <w:r w:rsidR="004A318D" w:rsidRPr="0068442A">
        <w:rPr>
          <w:rFonts w:ascii="Times New Roman" w:hAnsi="Times New Roman" w:cs="Times New Roman"/>
        </w:rPr>
        <w:t>—</w:t>
      </w:r>
      <w:r w:rsidR="00D71C2A" w:rsidRPr="0068442A">
        <w:rPr>
          <w:rFonts w:ascii="Times New Roman" w:hAnsi="Times New Roman" w:cs="Times New Roman"/>
        </w:rPr>
        <w:t>approach to the way gender eq</w:t>
      </w:r>
      <w:r w:rsidR="005D54F5" w:rsidRPr="0068442A">
        <w:rPr>
          <w:rFonts w:ascii="Times New Roman" w:hAnsi="Times New Roman" w:cs="Times New Roman"/>
        </w:rPr>
        <w:t>uality is addressed</w:t>
      </w:r>
      <w:r w:rsidR="00D71C2A" w:rsidRPr="0068442A">
        <w:rPr>
          <w:rFonts w:ascii="Times New Roman" w:hAnsi="Times New Roman" w:cs="Times New Roman"/>
        </w:rPr>
        <w:t xml:space="preserve">. </w:t>
      </w:r>
      <w:r w:rsidR="00790A5F" w:rsidRPr="0068442A">
        <w:rPr>
          <w:rFonts w:ascii="Times New Roman" w:hAnsi="Times New Roman" w:cs="Times New Roman"/>
        </w:rPr>
        <w:t xml:space="preserve">The </w:t>
      </w:r>
      <w:r w:rsidR="00957F45" w:rsidRPr="0068442A">
        <w:rPr>
          <w:rFonts w:ascii="Times New Roman" w:hAnsi="Times New Roman" w:cs="Times New Roman"/>
        </w:rPr>
        <w:t>Human Capital theory</w:t>
      </w:r>
      <w:r w:rsidR="005D54F5" w:rsidRPr="0068442A">
        <w:rPr>
          <w:rFonts w:ascii="Times New Roman" w:hAnsi="Times New Roman" w:cs="Times New Roman"/>
        </w:rPr>
        <w:t>, for instance,</w:t>
      </w:r>
      <w:r w:rsidR="00957F45" w:rsidRPr="0068442A">
        <w:rPr>
          <w:rFonts w:ascii="Times New Roman" w:hAnsi="Times New Roman" w:cs="Times New Roman"/>
        </w:rPr>
        <w:t xml:space="preserve"> </w:t>
      </w:r>
      <w:r w:rsidR="000C70B9" w:rsidRPr="0068442A">
        <w:rPr>
          <w:rFonts w:ascii="Times New Roman" w:hAnsi="Times New Roman" w:cs="Times New Roman"/>
        </w:rPr>
        <w:t xml:space="preserve">emerged in the early 1970s </w:t>
      </w:r>
      <w:r w:rsidR="00790A5F" w:rsidRPr="0068442A">
        <w:rPr>
          <w:rFonts w:ascii="Times New Roman" w:hAnsi="Times New Roman" w:cs="Times New Roman"/>
        </w:rPr>
        <w:t xml:space="preserve">and </w:t>
      </w:r>
      <w:r w:rsidR="000C70B9" w:rsidRPr="0068442A">
        <w:rPr>
          <w:rFonts w:ascii="Times New Roman" w:hAnsi="Times New Roman" w:cs="Times New Roman"/>
        </w:rPr>
        <w:t>focused largely on the gap between girls and boys in enrolment</w:t>
      </w:r>
      <w:r w:rsidR="00790A5F" w:rsidRPr="0068442A">
        <w:rPr>
          <w:rFonts w:ascii="Times New Roman" w:hAnsi="Times New Roman" w:cs="Times New Roman"/>
        </w:rPr>
        <w:t>,</w:t>
      </w:r>
      <w:r w:rsidR="000C70B9" w:rsidRPr="0068442A">
        <w:rPr>
          <w:rFonts w:ascii="Times New Roman" w:hAnsi="Times New Roman" w:cs="Times New Roman"/>
        </w:rPr>
        <w:t xml:space="preserve"> </w:t>
      </w:r>
      <w:r w:rsidR="00FF4DDB" w:rsidRPr="0068442A">
        <w:rPr>
          <w:rFonts w:ascii="Times New Roman" w:hAnsi="Times New Roman" w:cs="Times New Roman"/>
        </w:rPr>
        <w:t xml:space="preserve">the </w:t>
      </w:r>
      <w:r w:rsidR="000C70B9" w:rsidRPr="0068442A">
        <w:rPr>
          <w:rFonts w:ascii="Times New Roman" w:hAnsi="Times New Roman" w:cs="Times New Roman"/>
        </w:rPr>
        <w:t>distribution of opportunities</w:t>
      </w:r>
      <w:r w:rsidR="00790A5F" w:rsidRPr="0068442A">
        <w:rPr>
          <w:rFonts w:ascii="Times New Roman" w:hAnsi="Times New Roman" w:cs="Times New Roman"/>
        </w:rPr>
        <w:t>,</w:t>
      </w:r>
      <w:r w:rsidR="000C70B9" w:rsidRPr="0068442A">
        <w:rPr>
          <w:rFonts w:ascii="Times New Roman" w:hAnsi="Times New Roman" w:cs="Times New Roman"/>
        </w:rPr>
        <w:t xml:space="preserve"> </w:t>
      </w:r>
      <w:r w:rsidR="00790A5F" w:rsidRPr="0068442A">
        <w:rPr>
          <w:rFonts w:ascii="Times New Roman" w:hAnsi="Times New Roman" w:cs="Times New Roman"/>
        </w:rPr>
        <w:t>and</w:t>
      </w:r>
      <w:r w:rsidR="000C70B9" w:rsidRPr="0068442A">
        <w:rPr>
          <w:rFonts w:ascii="Times New Roman" w:hAnsi="Times New Roman" w:cs="Times New Roman"/>
        </w:rPr>
        <w:t xml:space="preserve"> access to education (</w:t>
      </w:r>
      <w:r w:rsidR="00C50439">
        <w:rPr>
          <w:rFonts w:ascii="Times New Roman" w:hAnsi="Times New Roman" w:cs="Times New Roman"/>
        </w:rPr>
        <w:t>with regard to</w:t>
      </w:r>
      <w:r w:rsidR="00C50439" w:rsidRPr="0068442A">
        <w:rPr>
          <w:rFonts w:ascii="Times New Roman" w:hAnsi="Times New Roman" w:cs="Times New Roman"/>
        </w:rPr>
        <w:t xml:space="preserve"> </w:t>
      </w:r>
      <w:r w:rsidR="000C70B9" w:rsidRPr="0068442A">
        <w:rPr>
          <w:rFonts w:ascii="Times New Roman" w:hAnsi="Times New Roman" w:cs="Times New Roman"/>
        </w:rPr>
        <w:t>teachers, books, transportation facilities</w:t>
      </w:r>
      <w:r w:rsidR="00790A5F" w:rsidRPr="0068442A">
        <w:rPr>
          <w:rFonts w:ascii="Times New Roman" w:hAnsi="Times New Roman" w:cs="Times New Roman"/>
        </w:rPr>
        <w:t>,</w:t>
      </w:r>
      <w:r w:rsidR="000C70B9" w:rsidRPr="0068442A">
        <w:rPr>
          <w:rFonts w:ascii="Times New Roman" w:hAnsi="Times New Roman" w:cs="Times New Roman"/>
        </w:rPr>
        <w:t xml:space="preserve"> and stipends).</w:t>
      </w:r>
      <w:r w:rsidR="00957F45" w:rsidRPr="0068442A">
        <w:rPr>
          <w:rFonts w:ascii="Times New Roman" w:hAnsi="Times New Roman" w:cs="Times New Roman"/>
        </w:rPr>
        <w:t xml:space="preserve"> </w:t>
      </w:r>
      <w:r w:rsidR="00790A5F" w:rsidRPr="0068442A">
        <w:rPr>
          <w:rFonts w:ascii="Times New Roman" w:hAnsi="Times New Roman" w:cs="Times New Roman"/>
        </w:rPr>
        <w:t>This theory</w:t>
      </w:r>
      <w:r w:rsidR="00957F45" w:rsidRPr="0068442A">
        <w:rPr>
          <w:rFonts w:ascii="Times New Roman" w:hAnsi="Times New Roman" w:cs="Times New Roman"/>
        </w:rPr>
        <w:t xml:space="preserve"> elaborated on</w:t>
      </w:r>
      <w:r w:rsidR="000C70B9" w:rsidRPr="0068442A">
        <w:rPr>
          <w:rFonts w:ascii="Times New Roman" w:hAnsi="Times New Roman" w:cs="Times New Roman"/>
        </w:rPr>
        <w:t xml:space="preserve"> the economic value</w:t>
      </w:r>
      <w:r w:rsidR="00957F45" w:rsidRPr="0068442A">
        <w:rPr>
          <w:rFonts w:ascii="Times New Roman" w:hAnsi="Times New Roman" w:cs="Times New Roman"/>
        </w:rPr>
        <w:t xml:space="preserve"> </w:t>
      </w:r>
      <w:r w:rsidR="000C70B9" w:rsidRPr="0068442A">
        <w:rPr>
          <w:rFonts w:ascii="Times New Roman" w:hAnsi="Times New Roman" w:cs="Times New Roman"/>
        </w:rPr>
        <w:t>of schooling</w:t>
      </w:r>
      <w:r w:rsidR="00957F45" w:rsidRPr="0068442A">
        <w:rPr>
          <w:rFonts w:ascii="Times New Roman" w:hAnsi="Times New Roman" w:cs="Times New Roman"/>
        </w:rPr>
        <w:t xml:space="preserve"> and economic empowerment</w:t>
      </w:r>
      <w:r w:rsidR="00790A5F" w:rsidRPr="0068442A">
        <w:rPr>
          <w:rFonts w:ascii="Times New Roman" w:hAnsi="Times New Roman" w:cs="Times New Roman"/>
        </w:rPr>
        <w:t>,</w:t>
      </w:r>
      <w:r w:rsidR="000C70B9" w:rsidRPr="0068442A">
        <w:rPr>
          <w:rFonts w:ascii="Times New Roman" w:hAnsi="Times New Roman" w:cs="Times New Roman"/>
        </w:rPr>
        <w:t xml:space="preserve"> with an emphasis on delivering individuals </w:t>
      </w:r>
      <w:r w:rsidR="00B115B9">
        <w:rPr>
          <w:rFonts w:ascii="Times New Roman" w:hAnsi="Times New Roman" w:cs="Times New Roman"/>
        </w:rPr>
        <w:t>to</w:t>
      </w:r>
      <w:r w:rsidR="00B115B9" w:rsidRPr="0068442A">
        <w:rPr>
          <w:rFonts w:ascii="Times New Roman" w:hAnsi="Times New Roman" w:cs="Times New Roman"/>
        </w:rPr>
        <w:t xml:space="preserve"> </w:t>
      </w:r>
      <w:r w:rsidR="002450F7" w:rsidRPr="0068442A">
        <w:rPr>
          <w:rFonts w:ascii="Times New Roman" w:hAnsi="Times New Roman" w:cs="Times New Roman"/>
        </w:rPr>
        <w:t xml:space="preserve">the labour market (Unterhalter, </w:t>
      </w:r>
      <w:r w:rsidR="000C70B9" w:rsidRPr="0068442A">
        <w:rPr>
          <w:rFonts w:ascii="Times New Roman" w:hAnsi="Times New Roman" w:cs="Times New Roman"/>
        </w:rPr>
        <w:t xml:space="preserve">2009). </w:t>
      </w:r>
      <w:r w:rsidR="00B115B9">
        <w:rPr>
          <w:rFonts w:ascii="Times New Roman" w:hAnsi="Times New Roman" w:cs="Times New Roman"/>
        </w:rPr>
        <w:t>Under</w:t>
      </w:r>
      <w:r w:rsidR="00B115B9" w:rsidRPr="0068442A">
        <w:rPr>
          <w:rFonts w:ascii="Times New Roman" w:hAnsi="Times New Roman" w:cs="Times New Roman"/>
        </w:rPr>
        <w:t xml:space="preserve"> </w:t>
      </w:r>
      <w:r w:rsidR="000C70B9" w:rsidRPr="0068442A">
        <w:rPr>
          <w:rFonts w:ascii="Times New Roman" w:hAnsi="Times New Roman" w:cs="Times New Roman"/>
        </w:rPr>
        <w:t>this approach</w:t>
      </w:r>
      <w:r w:rsidR="00C2656A" w:rsidRPr="0068442A">
        <w:rPr>
          <w:rFonts w:ascii="Times New Roman" w:hAnsi="Times New Roman" w:cs="Times New Roman"/>
        </w:rPr>
        <w:t>,</w:t>
      </w:r>
      <w:r w:rsidR="005C5EB6" w:rsidRPr="0068442A">
        <w:rPr>
          <w:rFonts w:ascii="Times New Roman" w:hAnsi="Times New Roman" w:cs="Times New Roman"/>
        </w:rPr>
        <w:t xml:space="preserve"> </w:t>
      </w:r>
      <w:r w:rsidR="000C70B9" w:rsidRPr="0068442A">
        <w:rPr>
          <w:rFonts w:ascii="Times New Roman" w:hAnsi="Times New Roman" w:cs="Times New Roman"/>
        </w:rPr>
        <w:t>women’s and girls</w:t>
      </w:r>
      <w:r w:rsidR="00790A5F" w:rsidRPr="0068442A">
        <w:rPr>
          <w:rFonts w:ascii="Times New Roman" w:hAnsi="Times New Roman" w:cs="Times New Roman"/>
        </w:rPr>
        <w:t>’</w:t>
      </w:r>
      <w:r w:rsidR="000C70B9" w:rsidRPr="0068442A">
        <w:rPr>
          <w:rFonts w:ascii="Times New Roman" w:hAnsi="Times New Roman" w:cs="Times New Roman"/>
        </w:rPr>
        <w:t xml:space="preserve"> education is important </w:t>
      </w:r>
      <w:r w:rsidR="005D54F5" w:rsidRPr="0068442A">
        <w:rPr>
          <w:rFonts w:ascii="Times New Roman" w:hAnsi="Times New Roman" w:cs="Times New Roman"/>
        </w:rPr>
        <w:t xml:space="preserve">to the extent </w:t>
      </w:r>
      <w:r w:rsidR="00B115B9">
        <w:rPr>
          <w:rFonts w:ascii="Times New Roman" w:hAnsi="Times New Roman" w:cs="Times New Roman"/>
        </w:rPr>
        <w:t xml:space="preserve">that </w:t>
      </w:r>
      <w:r w:rsidR="005D54F5" w:rsidRPr="0068442A">
        <w:rPr>
          <w:rFonts w:ascii="Times New Roman" w:hAnsi="Times New Roman" w:cs="Times New Roman"/>
        </w:rPr>
        <w:t>it</w:t>
      </w:r>
      <w:r w:rsidR="000204ED" w:rsidRPr="0068442A">
        <w:rPr>
          <w:rFonts w:ascii="Times New Roman" w:hAnsi="Times New Roman" w:cs="Times New Roman"/>
        </w:rPr>
        <w:t xml:space="preserve"> reduces</w:t>
      </w:r>
      <w:r w:rsidR="00957F45" w:rsidRPr="0068442A">
        <w:rPr>
          <w:rFonts w:ascii="Times New Roman" w:hAnsi="Times New Roman" w:cs="Times New Roman"/>
        </w:rPr>
        <w:t xml:space="preserve"> </w:t>
      </w:r>
      <w:r w:rsidR="00B2173C" w:rsidRPr="0068442A">
        <w:rPr>
          <w:rFonts w:ascii="Times New Roman" w:hAnsi="Times New Roman" w:cs="Times New Roman"/>
        </w:rPr>
        <w:t xml:space="preserve">the </w:t>
      </w:r>
      <w:r w:rsidR="00957F45" w:rsidRPr="0068442A">
        <w:rPr>
          <w:rFonts w:ascii="Times New Roman" w:hAnsi="Times New Roman" w:cs="Times New Roman"/>
        </w:rPr>
        <w:t xml:space="preserve">mortality rate, </w:t>
      </w:r>
      <w:r w:rsidR="00C2656A" w:rsidRPr="0068442A">
        <w:rPr>
          <w:rFonts w:ascii="Times New Roman" w:hAnsi="Times New Roman" w:cs="Times New Roman"/>
        </w:rPr>
        <w:t>creates</w:t>
      </w:r>
      <w:r w:rsidR="00957F45" w:rsidRPr="0068442A">
        <w:rPr>
          <w:rFonts w:ascii="Times New Roman" w:hAnsi="Times New Roman" w:cs="Times New Roman"/>
        </w:rPr>
        <w:t xml:space="preserve"> more educated </w:t>
      </w:r>
      <w:r w:rsidR="000C70B9" w:rsidRPr="0068442A">
        <w:rPr>
          <w:rFonts w:ascii="Times New Roman" w:hAnsi="Times New Roman" w:cs="Times New Roman"/>
        </w:rPr>
        <w:t>families</w:t>
      </w:r>
      <w:r w:rsidR="00790A5F" w:rsidRPr="0068442A">
        <w:rPr>
          <w:rFonts w:ascii="Times New Roman" w:hAnsi="Times New Roman" w:cs="Times New Roman"/>
        </w:rPr>
        <w:t>,</w:t>
      </w:r>
      <w:r w:rsidR="000C70B9" w:rsidRPr="0068442A">
        <w:rPr>
          <w:rFonts w:ascii="Times New Roman" w:hAnsi="Times New Roman" w:cs="Times New Roman"/>
        </w:rPr>
        <w:t xml:space="preserve"> and contributes to economic growth by </w:t>
      </w:r>
      <w:r w:rsidR="00957F45" w:rsidRPr="0068442A">
        <w:rPr>
          <w:rFonts w:ascii="Times New Roman" w:hAnsi="Times New Roman" w:cs="Times New Roman"/>
        </w:rPr>
        <w:t>fosterin</w:t>
      </w:r>
      <w:r w:rsidR="007C1C36" w:rsidRPr="0068442A">
        <w:rPr>
          <w:rFonts w:ascii="Times New Roman" w:hAnsi="Times New Roman" w:cs="Times New Roman"/>
        </w:rPr>
        <w:t>g</w:t>
      </w:r>
      <w:r w:rsidR="00957F45" w:rsidRPr="0068442A">
        <w:rPr>
          <w:rFonts w:ascii="Times New Roman" w:hAnsi="Times New Roman" w:cs="Times New Roman"/>
        </w:rPr>
        <w:t xml:space="preserve"> their participation in the economy</w:t>
      </w:r>
      <w:r w:rsidR="000C70B9" w:rsidRPr="0068442A">
        <w:rPr>
          <w:rFonts w:ascii="Times New Roman" w:hAnsi="Times New Roman" w:cs="Times New Roman"/>
        </w:rPr>
        <w:t xml:space="preserve"> </w:t>
      </w:r>
      <w:r w:rsidR="002450F7" w:rsidRPr="0068442A">
        <w:rPr>
          <w:rFonts w:ascii="Times New Roman" w:hAnsi="Times New Roman" w:cs="Times New Roman"/>
        </w:rPr>
        <w:t xml:space="preserve">(Unterhalter, </w:t>
      </w:r>
      <w:r w:rsidR="005D54F5" w:rsidRPr="0068442A">
        <w:rPr>
          <w:rFonts w:ascii="Times New Roman" w:hAnsi="Times New Roman" w:cs="Times New Roman"/>
        </w:rPr>
        <w:t>2007a), and</w:t>
      </w:r>
      <w:r w:rsidRPr="0068442A">
        <w:rPr>
          <w:rFonts w:ascii="Times New Roman" w:hAnsi="Times New Roman" w:cs="Times New Roman"/>
        </w:rPr>
        <w:t xml:space="preserve"> gender equality</w:t>
      </w:r>
      <w:r w:rsidR="000C70B9" w:rsidRPr="0068442A">
        <w:rPr>
          <w:rFonts w:ascii="Times New Roman" w:hAnsi="Times New Roman" w:cs="Times New Roman"/>
        </w:rPr>
        <w:t xml:space="preserve"> </w:t>
      </w:r>
      <w:r w:rsidRPr="0068442A">
        <w:rPr>
          <w:rFonts w:ascii="Times New Roman" w:hAnsi="Times New Roman" w:cs="Times New Roman"/>
        </w:rPr>
        <w:t xml:space="preserve">is limited to </w:t>
      </w:r>
      <w:r w:rsidR="00B2173C" w:rsidRPr="0068442A">
        <w:rPr>
          <w:rFonts w:ascii="Times New Roman" w:hAnsi="Times New Roman" w:cs="Times New Roman"/>
        </w:rPr>
        <w:t xml:space="preserve">achieving </w:t>
      </w:r>
      <w:r w:rsidRPr="0068442A">
        <w:rPr>
          <w:rFonts w:ascii="Times New Roman" w:hAnsi="Times New Roman" w:cs="Times New Roman"/>
        </w:rPr>
        <w:t>equality in numbers</w:t>
      </w:r>
      <w:r w:rsidR="007C1C36" w:rsidRPr="0068442A">
        <w:rPr>
          <w:rFonts w:ascii="Times New Roman" w:hAnsi="Times New Roman" w:cs="Times New Roman"/>
        </w:rPr>
        <w:t xml:space="preserve"> </w:t>
      </w:r>
      <w:r w:rsidRPr="0068442A">
        <w:rPr>
          <w:rFonts w:ascii="Times New Roman" w:hAnsi="Times New Roman" w:cs="Times New Roman"/>
        </w:rPr>
        <w:t>and closing the gender gap.</w:t>
      </w:r>
      <w:r w:rsidR="000C70B9" w:rsidRPr="0068442A">
        <w:rPr>
          <w:rFonts w:ascii="Times New Roman" w:hAnsi="Times New Roman" w:cs="Times New Roman"/>
        </w:rPr>
        <w:t xml:space="preserve"> </w:t>
      </w:r>
    </w:p>
    <w:p w14:paraId="1386FACF" w14:textId="6DEF59BE" w:rsidR="00B8546B" w:rsidRPr="0068442A" w:rsidRDefault="005D54F5" w:rsidP="00B8546B">
      <w:pPr>
        <w:autoSpaceDE w:val="0"/>
        <w:autoSpaceDN w:val="0"/>
        <w:adjustRightInd w:val="0"/>
        <w:spacing w:after="0" w:line="360" w:lineRule="auto"/>
        <w:ind w:firstLine="720"/>
        <w:jc w:val="both"/>
        <w:rPr>
          <w:rFonts w:ascii="Times New Roman" w:hAnsi="Times New Roman" w:cs="Times New Roman"/>
        </w:rPr>
      </w:pPr>
      <w:r w:rsidRPr="0068442A">
        <w:rPr>
          <w:rFonts w:ascii="Times New Roman" w:hAnsi="Times New Roman" w:cs="Times New Roman"/>
        </w:rPr>
        <w:lastRenderedPageBreak/>
        <w:t>On the other hand, t</w:t>
      </w:r>
      <w:r w:rsidR="00CD719A" w:rsidRPr="0068442A">
        <w:rPr>
          <w:rFonts w:ascii="Times New Roman" w:hAnsi="Times New Roman" w:cs="Times New Roman"/>
        </w:rPr>
        <w:t xml:space="preserve">he human rights-based </w:t>
      </w:r>
      <w:r w:rsidR="00225A8C" w:rsidRPr="0068442A">
        <w:rPr>
          <w:rFonts w:ascii="Times New Roman" w:hAnsi="Times New Roman" w:cs="Times New Roman"/>
        </w:rPr>
        <w:t xml:space="preserve">approach </w:t>
      </w:r>
      <w:r w:rsidR="00CD719A" w:rsidRPr="0068442A">
        <w:rPr>
          <w:rFonts w:ascii="Times New Roman" w:hAnsi="Times New Roman" w:cs="Times New Roman"/>
        </w:rPr>
        <w:t>recognises</w:t>
      </w:r>
      <w:r w:rsidR="00553331" w:rsidRPr="0068442A">
        <w:rPr>
          <w:rFonts w:ascii="Times New Roman" w:hAnsi="Times New Roman" w:cs="Times New Roman"/>
        </w:rPr>
        <w:t xml:space="preserve"> </w:t>
      </w:r>
      <w:r w:rsidR="00CD719A" w:rsidRPr="0068442A">
        <w:rPr>
          <w:rFonts w:ascii="Times New Roman" w:hAnsi="Times New Roman" w:cs="Times New Roman"/>
        </w:rPr>
        <w:t>the existence of socially construc</w:t>
      </w:r>
      <w:r w:rsidR="002450F7" w:rsidRPr="0068442A">
        <w:rPr>
          <w:rFonts w:ascii="Times New Roman" w:hAnsi="Times New Roman" w:cs="Times New Roman"/>
        </w:rPr>
        <w:t xml:space="preserve">ted gender differences (Vaughan, </w:t>
      </w:r>
      <w:r w:rsidR="009C2DE3" w:rsidRPr="0068442A">
        <w:rPr>
          <w:rFonts w:ascii="Times New Roman" w:hAnsi="Times New Roman" w:cs="Times New Roman"/>
        </w:rPr>
        <w:t>2010)</w:t>
      </w:r>
      <w:r w:rsidR="00CD719A" w:rsidRPr="0068442A">
        <w:rPr>
          <w:rFonts w:ascii="Times New Roman" w:hAnsi="Times New Roman" w:cs="Times New Roman"/>
        </w:rPr>
        <w:t>.</w:t>
      </w:r>
      <w:r w:rsidR="00553331" w:rsidRPr="0068442A">
        <w:rPr>
          <w:rFonts w:ascii="Times New Roman" w:hAnsi="Times New Roman" w:cs="Times New Roman"/>
        </w:rPr>
        <w:t xml:space="preserve"> </w:t>
      </w:r>
      <w:r w:rsidR="00CD719A" w:rsidRPr="0068442A">
        <w:rPr>
          <w:rFonts w:ascii="Times New Roman" w:hAnsi="Times New Roman" w:cs="Times New Roman"/>
        </w:rPr>
        <w:t>Gender equality is understood to involve transformation and reforms in</w:t>
      </w:r>
      <w:r w:rsidR="00553331" w:rsidRPr="0068442A">
        <w:rPr>
          <w:rFonts w:ascii="Times New Roman" w:hAnsi="Times New Roman" w:cs="Times New Roman"/>
        </w:rPr>
        <w:t xml:space="preserve"> </w:t>
      </w:r>
      <w:r w:rsidR="00CD719A" w:rsidRPr="0068442A">
        <w:rPr>
          <w:rFonts w:ascii="Times New Roman" w:hAnsi="Times New Roman" w:cs="Times New Roman"/>
        </w:rPr>
        <w:t>social institutions that perpetuate gender-based inequalities. However,</w:t>
      </w:r>
      <w:r w:rsidR="0040302A" w:rsidRPr="0068442A">
        <w:rPr>
          <w:rFonts w:ascii="Times New Roman" w:hAnsi="Times New Roman" w:cs="Times New Roman"/>
        </w:rPr>
        <w:t xml:space="preserve"> </w:t>
      </w:r>
      <w:r w:rsidR="00553331" w:rsidRPr="0068442A">
        <w:rPr>
          <w:rFonts w:ascii="Times New Roman" w:hAnsi="Times New Roman" w:cs="Times New Roman"/>
        </w:rPr>
        <w:t>g</w:t>
      </w:r>
      <w:r w:rsidR="00CD719A" w:rsidRPr="0068442A">
        <w:rPr>
          <w:rFonts w:ascii="Times New Roman" w:hAnsi="Times New Roman" w:cs="Times New Roman"/>
        </w:rPr>
        <w:t xml:space="preserve">ranting rights does not </w:t>
      </w:r>
      <w:r w:rsidR="007C1C36" w:rsidRPr="0068442A">
        <w:rPr>
          <w:rFonts w:ascii="Times New Roman" w:hAnsi="Times New Roman" w:cs="Times New Roman"/>
        </w:rPr>
        <w:t xml:space="preserve">always </w:t>
      </w:r>
      <w:r w:rsidR="00CD719A" w:rsidRPr="0068442A">
        <w:rPr>
          <w:rFonts w:ascii="Times New Roman" w:hAnsi="Times New Roman" w:cs="Times New Roman"/>
        </w:rPr>
        <w:t>challenge the</w:t>
      </w:r>
      <w:r w:rsidR="00553331" w:rsidRPr="0068442A">
        <w:rPr>
          <w:rFonts w:ascii="Times New Roman" w:hAnsi="Times New Roman" w:cs="Times New Roman"/>
        </w:rPr>
        <w:t xml:space="preserve"> </w:t>
      </w:r>
      <w:r w:rsidR="00CD719A" w:rsidRPr="0068442A">
        <w:rPr>
          <w:rFonts w:ascii="Times New Roman" w:hAnsi="Times New Roman" w:cs="Times New Roman"/>
        </w:rPr>
        <w:t xml:space="preserve">power and gender inequalities </w:t>
      </w:r>
      <w:r w:rsidRPr="0068442A">
        <w:rPr>
          <w:rFonts w:ascii="Times New Roman" w:hAnsi="Times New Roman" w:cs="Times New Roman"/>
        </w:rPr>
        <w:t xml:space="preserve">deeply embedded in institutions if there are no actions and implementations in place to dismantle </w:t>
      </w:r>
      <w:r w:rsidR="004E4214" w:rsidRPr="0068442A">
        <w:rPr>
          <w:rFonts w:ascii="Times New Roman" w:hAnsi="Times New Roman" w:cs="Times New Roman"/>
        </w:rPr>
        <w:t xml:space="preserve">everyday </w:t>
      </w:r>
      <w:r w:rsidRPr="0068442A">
        <w:rPr>
          <w:rFonts w:ascii="Times New Roman" w:hAnsi="Times New Roman" w:cs="Times New Roman"/>
        </w:rPr>
        <w:t xml:space="preserve">sexism and unfreedoms. </w:t>
      </w:r>
      <w:r w:rsidR="00D9762E" w:rsidRPr="0068442A">
        <w:rPr>
          <w:rFonts w:ascii="Times New Roman" w:hAnsi="Times New Roman" w:cs="Times New Roman"/>
        </w:rPr>
        <w:t>T</w:t>
      </w:r>
      <w:r w:rsidR="005B3525" w:rsidRPr="0068442A">
        <w:rPr>
          <w:rFonts w:ascii="Times New Roman" w:hAnsi="Times New Roman" w:cs="Times New Roman"/>
        </w:rPr>
        <w:t>he</w:t>
      </w:r>
      <w:r w:rsidR="00D9762E" w:rsidRPr="0068442A">
        <w:rPr>
          <w:rFonts w:ascii="Times New Roman" w:hAnsi="Times New Roman" w:cs="Times New Roman"/>
        </w:rPr>
        <w:t xml:space="preserve"> </w:t>
      </w:r>
      <w:r w:rsidR="005B3525" w:rsidRPr="0068442A">
        <w:rPr>
          <w:rFonts w:ascii="Times New Roman" w:hAnsi="Times New Roman" w:cs="Times New Roman"/>
        </w:rPr>
        <w:t>approach</w:t>
      </w:r>
      <w:r w:rsidR="007C1C36" w:rsidRPr="0068442A">
        <w:rPr>
          <w:rFonts w:ascii="Times New Roman" w:hAnsi="Times New Roman" w:cs="Times New Roman"/>
        </w:rPr>
        <w:t>, therefore,</w:t>
      </w:r>
      <w:r w:rsidR="005B3525" w:rsidRPr="0068442A">
        <w:rPr>
          <w:rFonts w:ascii="Times New Roman" w:hAnsi="Times New Roman" w:cs="Times New Roman"/>
        </w:rPr>
        <w:t xml:space="preserve"> </w:t>
      </w:r>
      <w:r w:rsidR="0040302A" w:rsidRPr="0068442A">
        <w:rPr>
          <w:rFonts w:ascii="Times New Roman" w:hAnsi="Times New Roman" w:cs="Times New Roman"/>
        </w:rPr>
        <w:t>ignores</w:t>
      </w:r>
      <w:r w:rsidR="005B3525" w:rsidRPr="0068442A">
        <w:rPr>
          <w:rFonts w:ascii="Times New Roman" w:hAnsi="Times New Roman" w:cs="Times New Roman"/>
        </w:rPr>
        <w:t xml:space="preserve"> the conditions that </w:t>
      </w:r>
      <w:r w:rsidR="00200BBD" w:rsidRPr="0068442A">
        <w:rPr>
          <w:rFonts w:ascii="Times New Roman" w:hAnsi="Times New Roman" w:cs="Times New Roman"/>
        </w:rPr>
        <w:t>preclude</w:t>
      </w:r>
      <w:r w:rsidR="005B3525" w:rsidRPr="0068442A">
        <w:rPr>
          <w:rFonts w:ascii="Times New Roman" w:hAnsi="Times New Roman" w:cs="Times New Roman"/>
        </w:rPr>
        <w:t xml:space="preserve"> </w:t>
      </w:r>
      <w:r w:rsidR="00200BBD" w:rsidRPr="0068442A">
        <w:rPr>
          <w:rFonts w:ascii="Times New Roman" w:hAnsi="Times New Roman" w:cs="Times New Roman"/>
        </w:rPr>
        <w:t>the operationalisation of these</w:t>
      </w:r>
      <w:r w:rsidR="005B3525" w:rsidRPr="0068442A">
        <w:rPr>
          <w:rFonts w:ascii="Times New Roman" w:hAnsi="Times New Roman" w:cs="Times New Roman"/>
        </w:rPr>
        <w:t xml:space="preserve"> rights (Unte</w:t>
      </w:r>
      <w:r w:rsidR="002450F7" w:rsidRPr="0068442A">
        <w:rPr>
          <w:rFonts w:ascii="Times New Roman" w:hAnsi="Times New Roman" w:cs="Times New Roman"/>
        </w:rPr>
        <w:t xml:space="preserve">rhalter, </w:t>
      </w:r>
      <w:r w:rsidR="00E7356D" w:rsidRPr="0068442A">
        <w:rPr>
          <w:rFonts w:ascii="Times New Roman" w:hAnsi="Times New Roman" w:cs="Times New Roman"/>
        </w:rPr>
        <w:t>2003</w:t>
      </w:r>
      <w:r w:rsidR="002450F7" w:rsidRPr="0068442A">
        <w:rPr>
          <w:rFonts w:ascii="Times New Roman" w:hAnsi="Times New Roman" w:cs="Times New Roman"/>
        </w:rPr>
        <w:t xml:space="preserve">; Robeyns, </w:t>
      </w:r>
      <w:r w:rsidR="00296D72" w:rsidRPr="0068442A">
        <w:rPr>
          <w:rFonts w:ascii="Times New Roman" w:hAnsi="Times New Roman" w:cs="Times New Roman"/>
        </w:rPr>
        <w:t>2006)</w:t>
      </w:r>
      <w:r w:rsidR="004E4214" w:rsidRPr="0068442A">
        <w:rPr>
          <w:rFonts w:ascii="Times New Roman" w:hAnsi="Times New Roman" w:cs="Times New Roman"/>
        </w:rPr>
        <w:t xml:space="preserve">, </w:t>
      </w:r>
      <w:r w:rsidR="00D9762E" w:rsidRPr="0068442A">
        <w:rPr>
          <w:rFonts w:ascii="Times New Roman" w:hAnsi="Times New Roman" w:cs="Times New Roman"/>
        </w:rPr>
        <w:t>focus</w:t>
      </w:r>
      <w:r w:rsidR="007D76F5" w:rsidRPr="0068442A">
        <w:rPr>
          <w:rFonts w:ascii="Times New Roman" w:hAnsi="Times New Roman" w:cs="Times New Roman"/>
        </w:rPr>
        <w:t>es</w:t>
      </w:r>
      <w:r w:rsidR="00D9762E" w:rsidRPr="0068442A">
        <w:rPr>
          <w:rFonts w:ascii="Times New Roman" w:hAnsi="Times New Roman" w:cs="Times New Roman"/>
        </w:rPr>
        <w:t xml:space="preserve"> </w:t>
      </w:r>
      <w:r w:rsidR="005B3525" w:rsidRPr="0068442A">
        <w:rPr>
          <w:rFonts w:ascii="Times New Roman" w:hAnsi="Times New Roman" w:cs="Times New Roman"/>
        </w:rPr>
        <w:t>on legalistic solutions to inequalities, and fai</w:t>
      </w:r>
      <w:r w:rsidR="00D9762E" w:rsidRPr="0068442A">
        <w:rPr>
          <w:rFonts w:ascii="Times New Roman" w:hAnsi="Times New Roman" w:cs="Times New Roman"/>
        </w:rPr>
        <w:t>l</w:t>
      </w:r>
      <w:r w:rsidR="007D76F5" w:rsidRPr="0068442A">
        <w:rPr>
          <w:rFonts w:ascii="Times New Roman" w:hAnsi="Times New Roman" w:cs="Times New Roman"/>
        </w:rPr>
        <w:t>s</w:t>
      </w:r>
      <w:r w:rsidR="00D9762E" w:rsidRPr="0068442A">
        <w:rPr>
          <w:rFonts w:ascii="Times New Roman" w:hAnsi="Times New Roman" w:cs="Times New Roman"/>
        </w:rPr>
        <w:t xml:space="preserve"> to foster sustainable change </w:t>
      </w:r>
      <w:r w:rsidR="005B3525" w:rsidRPr="0068442A">
        <w:rPr>
          <w:rFonts w:ascii="Times New Roman" w:hAnsi="Times New Roman" w:cs="Times New Roman"/>
        </w:rPr>
        <w:t>and address local realities and complexities</w:t>
      </w:r>
      <w:r w:rsidR="002450F7" w:rsidRPr="0068442A">
        <w:rPr>
          <w:rFonts w:ascii="Times New Roman" w:hAnsi="Times New Roman" w:cs="Times New Roman"/>
        </w:rPr>
        <w:t xml:space="preserve"> (Unterhalter, </w:t>
      </w:r>
      <w:r w:rsidRPr="0068442A">
        <w:rPr>
          <w:rFonts w:ascii="Times New Roman" w:hAnsi="Times New Roman" w:cs="Times New Roman"/>
        </w:rPr>
        <w:t>2009)</w:t>
      </w:r>
      <w:r w:rsidR="0027375A">
        <w:rPr>
          <w:rFonts w:ascii="Times New Roman" w:hAnsi="Times New Roman" w:cs="Times New Roman"/>
        </w:rPr>
        <w:t xml:space="preserve">. It </w:t>
      </w:r>
      <w:r w:rsidRPr="0068442A">
        <w:rPr>
          <w:rFonts w:ascii="Times New Roman" w:hAnsi="Times New Roman" w:cs="Times New Roman"/>
        </w:rPr>
        <w:t xml:space="preserve">therefore </w:t>
      </w:r>
      <w:r w:rsidR="007D76F5" w:rsidRPr="0068442A">
        <w:rPr>
          <w:rFonts w:ascii="Times New Roman" w:hAnsi="Times New Roman" w:cs="Times New Roman"/>
        </w:rPr>
        <w:t>has</w:t>
      </w:r>
      <w:r w:rsidR="00D9762E" w:rsidRPr="0068442A">
        <w:rPr>
          <w:rFonts w:ascii="Times New Roman" w:hAnsi="Times New Roman" w:cs="Times New Roman"/>
        </w:rPr>
        <w:t xml:space="preserve"> an </w:t>
      </w:r>
      <w:r w:rsidR="005B3525" w:rsidRPr="0068442A">
        <w:rPr>
          <w:rFonts w:ascii="Times New Roman" w:hAnsi="Times New Roman" w:cs="Times New Roman"/>
        </w:rPr>
        <w:t>‘ontologically individualistic’ approach to</w:t>
      </w:r>
      <w:r w:rsidR="002450F7" w:rsidRPr="0068442A">
        <w:rPr>
          <w:rFonts w:ascii="Times New Roman" w:hAnsi="Times New Roman" w:cs="Times New Roman"/>
        </w:rPr>
        <w:t xml:space="preserve"> learners (Robeyns, </w:t>
      </w:r>
      <w:r w:rsidR="00E7356D" w:rsidRPr="0068442A">
        <w:rPr>
          <w:rFonts w:ascii="Times New Roman" w:hAnsi="Times New Roman" w:cs="Times New Roman"/>
        </w:rPr>
        <w:t>2003</w:t>
      </w:r>
      <w:r w:rsidR="003F5D0F" w:rsidRPr="0068442A">
        <w:rPr>
          <w:rFonts w:ascii="Times New Roman" w:hAnsi="Times New Roman" w:cs="Times New Roman"/>
        </w:rPr>
        <w:t>,</w:t>
      </w:r>
      <w:r w:rsidR="00D9762E" w:rsidRPr="0068442A">
        <w:rPr>
          <w:rFonts w:ascii="Times New Roman" w:hAnsi="Times New Roman" w:cs="Times New Roman"/>
        </w:rPr>
        <w:t xml:space="preserve"> 65), </w:t>
      </w:r>
      <w:r w:rsidR="005B3525" w:rsidRPr="0068442A">
        <w:rPr>
          <w:rFonts w:ascii="Times New Roman" w:hAnsi="Times New Roman" w:cs="Times New Roman"/>
        </w:rPr>
        <w:t>which means it does not look into socia</w:t>
      </w:r>
      <w:r w:rsidR="00D9762E" w:rsidRPr="0068442A">
        <w:rPr>
          <w:rFonts w:ascii="Times New Roman" w:hAnsi="Times New Roman" w:cs="Times New Roman"/>
        </w:rPr>
        <w:t>l, economic</w:t>
      </w:r>
      <w:r w:rsidR="007D76F5" w:rsidRPr="0068442A">
        <w:rPr>
          <w:rFonts w:ascii="Times New Roman" w:hAnsi="Times New Roman" w:cs="Times New Roman"/>
        </w:rPr>
        <w:t>,</w:t>
      </w:r>
      <w:r w:rsidR="00D9762E" w:rsidRPr="0068442A">
        <w:rPr>
          <w:rFonts w:ascii="Times New Roman" w:hAnsi="Times New Roman" w:cs="Times New Roman"/>
        </w:rPr>
        <w:t xml:space="preserve"> or political forces </w:t>
      </w:r>
      <w:r w:rsidR="0040302A" w:rsidRPr="0068442A">
        <w:rPr>
          <w:rFonts w:ascii="Times New Roman" w:hAnsi="Times New Roman" w:cs="Times New Roman"/>
        </w:rPr>
        <w:t>that infl</w:t>
      </w:r>
      <w:r w:rsidR="005B3525" w:rsidRPr="0068442A">
        <w:rPr>
          <w:rFonts w:ascii="Times New Roman" w:hAnsi="Times New Roman" w:cs="Times New Roman"/>
        </w:rPr>
        <w:t>uence gendered experiences within classrooms</w:t>
      </w:r>
      <w:r w:rsidR="00D03BF3" w:rsidRPr="0068442A">
        <w:rPr>
          <w:rFonts w:ascii="Times New Roman" w:hAnsi="Times New Roman" w:cs="Times New Roman"/>
        </w:rPr>
        <w:t>.</w:t>
      </w:r>
      <w:r w:rsidRPr="0068442A">
        <w:rPr>
          <w:rFonts w:ascii="Times New Roman" w:hAnsi="Times New Roman" w:cs="Times New Roman"/>
        </w:rPr>
        <w:t xml:space="preserve"> However,</w:t>
      </w:r>
      <w:r w:rsidR="00D03BF3" w:rsidRPr="0068442A">
        <w:rPr>
          <w:rFonts w:ascii="Times New Roman" w:hAnsi="Times New Roman" w:cs="Times New Roman"/>
        </w:rPr>
        <w:t xml:space="preserve"> </w:t>
      </w:r>
      <w:r w:rsidRPr="0068442A">
        <w:rPr>
          <w:rFonts w:ascii="Times New Roman" w:hAnsi="Times New Roman" w:cs="Times New Roman"/>
        </w:rPr>
        <w:t>i</w:t>
      </w:r>
      <w:r w:rsidR="007C1C36" w:rsidRPr="0068442A">
        <w:rPr>
          <w:rFonts w:ascii="Times New Roman" w:hAnsi="Times New Roman" w:cs="Times New Roman"/>
        </w:rPr>
        <w:t>t</w:t>
      </w:r>
      <w:r w:rsidR="00D03BF3" w:rsidRPr="0068442A">
        <w:rPr>
          <w:rFonts w:ascii="Times New Roman" w:hAnsi="Times New Roman" w:cs="Times New Roman"/>
        </w:rPr>
        <w:t xml:space="preserve"> is widely used by UN </w:t>
      </w:r>
      <w:r w:rsidR="005B3525" w:rsidRPr="0068442A">
        <w:rPr>
          <w:rFonts w:ascii="Times New Roman" w:hAnsi="Times New Roman" w:cs="Times New Roman"/>
        </w:rPr>
        <w:t xml:space="preserve">agencies, </w:t>
      </w:r>
      <w:r w:rsidR="001A4B2D" w:rsidRPr="0068442A">
        <w:rPr>
          <w:rFonts w:ascii="Times New Roman" w:hAnsi="Times New Roman" w:cs="Times New Roman"/>
        </w:rPr>
        <w:t>who</w:t>
      </w:r>
      <w:r w:rsidR="00F277B9" w:rsidRPr="0068442A">
        <w:rPr>
          <w:rFonts w:ascii="Times New Roman" w:hAnsi="Times New Roman" w:cs="Times New Roman"/>
        </w:rPr>
        <w:t xml:space="preserve"> </w:t>
      </w:r>
      <w:r w:rsidR="005B3525" w:rsidRPr="0068442A">
        <w:rPr>
          <w:rFonts w:ascii="Times New Roman" w:hAnsi="Times New Roman" w:cs="Times New Roman"/>
        </w:rPr>
        <w:t>regard schools without consider</w:t>
      </w:r>
      <w:r w:rsidR="00D03BF3" w:rsidRPr="0068442A">
        <w:rPr>
          <w:rFonts w:ascii="Times New Roman" w:hAnsi="Times New Roman" w:cs="Times New Roman"/>
        </w:rPr>
        <w:t xml:space="preserve">ing the local contexts they are </w:t>
      </w:r>
      <w:r w:rsidR="005B3525" w:rsidRPr="0068442A">
        <w:rPr>
          <w:rFonts w:ascii="Times New Roman" w:hAnsi="Times New Roman" w:cs="Times New Roman"/>
        </w:rPr>
        <w:t>situated in, and thus do not act respons</w:t>
      </w:r>
      <w:r w:rsidR="00D03BF3" w:rsidRPr="0068442A">
        <w:rPr>
          <w:rFonts w:ascii="Times New Roman" w:hAnsi="Times New Roman" w:cs="Times New Roman"/>
        </w:rPr>
        <w:t xml:space="preserve">ively </w:t>
      </w:r>
      <w:r w:rsidR="00DA5BC9" w:rsidRPr="0068442A">
        <w:rPr>
          <w:rFonts w:ascii="Times New Roman" w:hAnsi="Times New Roman" w:cs="Times New Roman"/>
        </w:rPr>
        <w:t>towards</w:t>
      </w:r>
      <w:r w:rsidR="001A4B2D" w:rsidRPr="0068442A">
        <w:rPr>
          <w:rFonts w:ascii="Times New Roman" w:hAnsi="Times New Roman" w:cs="Times New Roman"/>
        </w:rPr>
        <w:t xml:space="preserve"> </w:t>
      </w:r>
      <w:r w:rsidR="00D03BF3" w:rsidRPr="0068442A">
        <w:rPr>
          <w:rFonts w:ascii="Times New Roman" w:hAnsi="Times New Roman" w:cs="Times New Roman"/>
        </w:rPr>
        <w:t xml:space="preserve">the lived realities of </w:t>
      </w:r>
      <w:r w:rsidR="0040302A" w:rsidRPr="0068442A">
        <w:rPr>
          <w:rFonts w:ascii="Times New Roman" w:hAnsi="Times New Roman" w:cs="Times New Roman"/>
        </w:rPr>
        <w:t>learners in specifi</w:t>
      </w:r>
      <w:r w:rsidR="005B3525" w:rsidRPr="0068442A">
        <w:rPr>
          <w:rFonts w:ascii="Times New Roman" w:hAnsi="Times New Roman" w:cs="Times New Roman"/>
        </w:rPr>
        <w:t>c contexts (</w:t>
      </w:r>
      <w:r w:rsidR="007D76F5" w:rsidRPr="0068442A">
        <w:rPr>
          <w:rFonts w:ascii="Times New Roman" w:hAnsi="Times New Roman" w:cs="Times New Roman"/>
        </w:rPr>
        <w:t>e.g. by</w:t>
      </w:r>
      <w:r w:rsidR="005B3525" w:rsidRPr="0068442A">
        <w:rPr>
          <w:rFonts w:ascii="Times New Roman" w:hAnsi="Times New Roman" w:cs="Times New Roman"/>
        </w:rPr>
        <w:t xml:space="preserve"> ig</w:t>
      </w:r>
      <w:r w:rsidR="00D03BF3" w:rsidRPr="0068442A">
        <w:rPr>
          <w:rFonts w:ascii="Times New Roman" w:hAnsi="Times New Roman" w:cs="Times New Roman"/>
        </w:rPr>
        <w:t xml:space="preserve">noring the needs of communities </w:t>
      </w:r>
      <w:r w:rsidR="005B3525" w:rsidRPr="0068442A">
        <w:rPr>
          <w:rFonts w:ascii="Times New Roman" w:hAnsi="Times New Roman" w:cs="Times New Roman"/>
        </w:rPr>
        <w:t>and students marginalised on the basis of r</w:t>
      </w:r>
      <w:r w:rsidR="00D03BF3" w:rsidRPr="0068442A">
        <w:rPr>
          <w:rFonts w:ascii="Times New Roman" w:hAnsi="Times New Roman" w:cs="Times New Roman"/>
        </w:rPr>
        <w:t>ace, caste, tribe, language</w:t>
      </w:r>
      <w:r w:rsidR="007D76F5" w:rsidRPr="0068442A">
        <w:rPr>
          <w:rFonts w:ascii="Times New Roman" w:hAnsi="Times New Roman" w:cs="Times New Roman"/>
        </w:rPr>
        <w:t>,</w:t>
      </w:r>
      <w:r w:rsidR="00D03BF3" w:rsidRPr="0068442A">
        <w:rPr>
          <w:rFonts w:ascii="Times New Roman" w:hAnsi="Times New Roman" w:cs="Times New Roman"/>
        </w:rPr>
        <w:t xml:space="preserve"> and </w:t>
      </w:r>
      <w:r w:rsidR="005B3525" w:rsidRPr="0068442A">
        <w:rPr>
          <w:rFonts w:ascii="Times New Roman" w:hAnsi="Times New Roman" w:cs="Times New Roman"/>
        </w:rPr>
        <w:t xml:space="preserve">religion). </w:t>
      </w:r>
      <w:r w:rsidRPr="0068442A">
        <w:rPr>
          <w:rFonts w:ascii="Times New Roman" w:hAnsi="Times New Roman" w:cs="Times New Roman"/>
        </w:rPr>
        <w:t xml:space="preserve">With </w:t>
      </w:r>
      <w:r w:rsidR="008B1E9A">
        <w:rPr>
          <w:rFonts w:ascii="Times New Roman" w:hAnsi="Times New Roman" w:cs="Times New Roman"/>
        </w:rPr>
        <w:t>an</w:t>
      </w:r>
      <w:r w:rsidR="008B1E9A" w:rsidRPr="0068442A">
        <w:rPr>
          <w:rFonts w:ascii="Times New Roman" w:hAnsi="Times New Roman" w:cs="Times New Roman"/>
        </w:rPr>
        <w:t xml:space="preserve"> </w:t>
      </w:r>
      <w:r w:rsidR="008B1E9A">
        <w:rPr>
          <w:rFonts w:ascii="Times New Roman" w:hAnsi="Times New Roman" w:cs="Times New Roman"/>
        </w:rPr>
        <w:t>emphasis</w:t>
      </w:r>
      <w:r w:rsidR="008B1E9A" w:rsidRPr="0068442A">
        <w:rPr>
          <w:rFonts w:ascii="Times New Roman" w:hAnsi="Times New Roman" w:cs="Times New Roman"/>
        </w:rPr>
        <w:t xml:space="preserve"> </w:t>
      </w:r>
      <w:r w:rsidR="008B1E9A">
        <w:rPr>
          <w:rFonts w:ascii="Times New Roman" w:hAnsi="Times New Roman" w:cs="Times New Roman"/>
        </w:rPr>
        <w:t>o</w:t>
      </w:r>
      <w:r w:rsidR="00D03BF3" w:rsidRPr="0068442A">
        <w:rPr>
          <w:rFonts w:ascii="Times New Roman" w:hAnsi="Times New Roman" w:cs="Times New Roman"/>
        </w:rPr>
        <w:t xml:space="preserve">n the enactment of negative </w:t>
      </w:r>
      <w:r w:rsidR="005B3525" w:rsidRPr="0068442A">
        <w:rPr>
          <w:rFonts w:ascii="Times New Roman" w:hAnsi="Times New Roman" w:cs="Times New Roman"/>
        </w:rPr>
        <w:t>freedoms</w:t>
      </w:r>
      <w:r w:rsidR="005C3DA9" w:rsidRPr="0068442A">
        <w:rPr>
          <w:rFonts w:ascii="Times New Roman" w:hAnsi="Times New Roman" w:cs="Times New Roman"/>
        </w:rPr>
        <w:t xml:space="preserve">, </w:t>
      </w:r>
      <w:r w:rsidR="005B3525" w:rsidRPr="0068442A">
        <w:rPr>
          <w:rFonts w:ascii="Times New Roman" w:hAnsi="Times New Roman" w:cs="Times New Roman"/>
        </w:rPr>
        <w:t>such as protection from abuse</w:t>
      </w:r>
      <w:r w:rsidR="005C3DA9" w:rsidRPr="0068442A">
        <w:rPr>
          <w:rFonts w:ascii="Times New Roman" w:hAnsi="Times New Roman" w:cs="Times New Roman"/>
        </w:rPr>
        <w:t>,</w:t>
      </w:r>
      <w:r w:rsidR="005B3525" w:rsidRPr="0068442A">
        <w:rPr>
          <w:rFonts w:ascii="Times New Roman" w:hAnsi="Times New Roman" w:cs="Times New Roman"/>
        </w:rPr>
        <w:t xml:space="preserve"> </w:t>
      </w:r>
      <w:r w:rsidR="007C1C36" w:rsidRPr="0068442A">
        <w:rPr>
          <w:rFonts w:ascii="Times New Roman" w:hAnsi="Times New Roman" w:cs="Times New Roman"/>
        </w:rPr>
        <w:t xml:space="preserve">but not </w:t>
      </w:r>
      <w:r w:rsidR="008B1E9A">
        <w:rPr>
          <w:rFonts w:ascii="Times New Roman" w:hAnsi="Times New Roman" w:cs="Times New Roman"/>
        </w:rPr>
        <w:t>on</w:t>
      </w:r>
      <w:r w:rsidR="008B1E9A" w:rsidRPr="0068442A">
        <w:rPr>
          <w:rFonts w:ascii="Times New Roman" w:hAnsi="Times New Roman" w:cs="Times New Roman"/>
        </w:rPr>
        <w:t xml:space="preserve"> </w:t>
      </w:r>
      <w:r w:rsidR="005B3525" w:rsidRPr="0068442A">
        <w:rPr>
          <w:rFonts w:ascii="Times New Roman" w:hAnsi="Times New Roman" w:cs="Times New Roman"/>
        </w:rPr>
        <w:t>positive rights</w:t>
      </w:r>
      <w:r w:rsidR="00F12F20" w:rsidRPr="0068442A">
        <w:rPr>
          <w:rFonts w:ascii="Times New Roman" w:hAnsi="Times New Roman" w:cs="Times New Roman"/>
        </w:rPr>
        <w:t>,</w:t>
      </w:r>
      <w:r w:rsidR="005B3525" w:rsidRPr="0068442A">
        <w:rPr>
          <w:rFonts w:ascii="Times New Roman" w:hAnsi="Times New Roman" w:cs="Times New Roman"/>
        </w:rPr>
        <w:t xml:space="preserve"> such as one’</w:t>
      </w:r>
      <w:r w:rsidR="00D03BF3" w:rsidRPr="0068442A">
        <w:rPr>
          <w:rFonts w:ascii="Times New Roman" w:hAnsi="Times New Roman" w:cs="Times New Roman"/>
        </w:rPr>
        <w:t xml:space="preserve">s </w:t>
      </w:r>
      <w:r w:rsidR="005B3525" w:rsidRPr="0068442A">
        <w:rPr>
          <w:rFonts w:ascii="Times New Roman" w:hAnsi="Times New Roman" w:cs="Times New Roman"/>
        </w:rPr>
        <w:t>right to learn in one’s mother tongue</w:t>
      </w:r>
      <w:r w:rsidR="007D76F5" w:rsidRPr="0068442A">
        <w:rPr>
          <w:rFonts w:ascii="Times New Roman" w:hAnsi="Times New Roman" w:cs="Times New Roman"/>
        </w:rPr>
        <w:t xml:space="preserve"> and</w:t>
      </w:r>
      <w:r w:rsidR="005B3525" w:rsidRPr="0068442A">
        <w:rPr>
          <w:rFonts w:ascii="Times New Roman" w:hAnsi="Times New Roman" w:cs="Times New Roman"/>
        </w:rPr>
        <w:t xml:space="preserve"> to have one’</w:t>
      </w:r>
      <w:r w:rsidR="0040302A" w:rsidRPr="0068442A">
        <w:rPr>
          <w:rFonts w:ascii="Times New Roman" w:hAnsi="Times New Roman" w:cs="Times New Roman"/>
        </w:rPr>
        <w:t>s identity refle</w:t>
      </w:r>
      <w:r w:rsidR="00D03BF3" w:rsidRPr="0068442A">
        <w:rPr>
          <w:rFonts w:ascii="Times New Roman" w:hAnsi="Times New Roman" w:cs="Times New Roman"/>
        </w:rPr>
        <w:t xml:space="preserve">cted </w:t>
      </w:r>
      <w:r w:rsidR="005B3525" w:rsidRPr="0068442A">
        <w:rPr>
          <w:rFonts w:ascii="Times New Roman" w:hAnsi="Times New Roman" w:cs="Times New Roman"/>
        </w:rPr>
        <w:t xml:space="preserve">in the </w:t>
      </w:r>
      <w:r w:rsidR="00F12F20" w:rsidRPr="0068442A">
        <w:rPr>
          <w:rFonts w:ascii="Times New Roman" w:hAnsi="Times New Roman" w:cs="Times New Roman"/>
        </w:rPr>
        <w:t xml:space="preserve">school </w:t>
      </w:r>
      <w:r w:rsidR="005B3525" w:rsidRPr="0068442A">
        <w:rPr>
          <w:rFonts w:ascii="Times New Roman" w:hAnsi="Times New Roman" w:cs="Times New Roman"/>
        </w:rPr>
        <w:t>curriculum (Ti</w:t>
      </w:r>
      <w:r w:rsidRPr="0068442A">
        <w:rPr>
          <w:rFonts w:ascii="Times New Roman" w:hAnsi="Times New Roman" w:cs="Times New Roman"/>
        </w:rPr>
        <w:t xml:space="preserve">kly </w:t>
      </w:r>
      <w:r w:rsidR="006504E9" w:rsidRPr="0068442A">
        <w:rPr>
          <w:rFonts w:ascii="Times New Roman" w:hAnsi="Times New Roman" w:cs="Times New Roman"/>
        </w:rPr>
        <w:t>&amp;</w:t>
      </w:r>
      <w:r w:rsidRPr="0068442A">
        <w:rPr>
          <w:rFonts w:ascii="Times New Roman" w:hAnsi="Times New Roman" w:cs="Times New Roman"/>
        </w:rPr>
        <w:t>Barrett</w:t>
      </w:r>
      <w:r w:rsidR="007A6D7B" w:rsidRPr="0068442A">
        <w:rPr>
          <w:rFonts w:ascii="Times New Roman" w:hAnsi="Times New Roman" w:cs="Times New Roman"/>
        </w:rPr>
        <w:t>,</w:t>
      </w:r>
      <w:r w:rsidRPr="0068442A">
        <w:rPr>
          <w:rFonts w:ascii="Times New Roman" w:hAnsi="Times New Roman" w:cs="Times New Roman"/>
        </w:rPr>
        <w:t xml:space="preserve"> 2011)</w:t>
      </w:r>
      <w:r w:rsidR="005B3525" w:rsidRPr="0068442A">
        <w:rPr>
          <w:rFonts w:ascii="Times New Roman" w:hAnsi="Times New Roman" w:cs="Times New Roman"/>
        </w:rPr>
        <w:t>, the righ</w:t>
      </w:r>
      <w:r w:rsidR="00D03BF3" w:rsidRPr="0068442A">
        <w:rPr>
          <w:rFonts w:ascii="Times New Roman" w:hAnsi="Times New Roman" w:cs="Times New Roman"/>
        </w:rPr>
        <w:t>ts approach, in general, is not suffi</w:t>
      </w:r>
      <w:r w:rsidR="005B3525" w:rsidRPr="0068442A">
        <w:rPr>
          <w:rFonts w:ascii="Times New Roman" w:hAnsi="Times New Roman" w:cs="Times New Roman"/>
        </w:rPr>
        <w:t xml:space="preserve">ciently supported by political and </w:t>
      </w:r>
      <w:r w:rsidR="00F80155" w:rsidRPr="0068442A">
        <w:rPr>
          <w:rFonts w:ascii="Times New Roman" w:hAnsi="Times New Roman" w:cs="Times New Roman"/>
        </w:rPr>
        <w:t>fi</w:t>
      </w:r>
      <w:r w:rsidR="003F5D0F" w:rsidRPr="0068442A">
        <w:rPr>
          <w:rFonts w:ascii="Times New Roman" w:hAnsi="Times New Roman" w:cs="Times New Roman"/>
        </w:rPr>
        <w:t>nancial commitments (Robeyns</w:t>
      </w:r>
      <w:r w:rsidR="007A6D7B" w:rsidRPr="0068442A">
        <w:rPr>
          <w:rFonts w:ascii="Times New Roman" w:hAnsi="Times New Roman" w:cs="Times New Roman"/>
        </w:rPr>
        <w:t xml:space="preserve">, </w:t>
      </w:r>
      <w:r w:rsidR="0040302A" w:rsidRPr="0068442A">
        <w:rPr>
          <w:rFonts w:ascii="Times New Roman" w:hAnsi="Times New Roman" w:cs="Times New Roman"/>
        </w:rPr>
        <w:t>2006</w:t>
      </w:r>
      <w:r w:rsidR="005B3525" w:rsidRPr="0068442A">
        <w:rPr>
          <w:rFonts w:ascii="Times New Roman" w:hAnsi="Times New Roman" w:cs="Times New Roman"/>
        </w:rPr>
        <w:t>).</w:t>
      </w:r>
      <w:r w:rsidR="00B8546B" w:rsidRPr="0068442A">
        <w:rPr>
          <w:rFonts w:ascii="Times New Roman" w:hAnsi="Times New Roman" w:cs="Times New Roman"/>
        </w:rPr>
        <w:t xml:space="preserve"> By and large, t</w:t>
      </w:r>
      <w:r w:rsidR="0040302A" w:rsidRPr="0068442A">
        <w:rPr>
          <w:rFonts w:ascii="Times New Roman" w:hAnsi="Times New Roman" w:cs="Times New Roman"/>
        </w:rPr>
        <w:t>hese two approaches</w:t>
      </w:r>
      <w:r w:rsidR="0043197F">
        <w:rPr>
          <w:rFonts w:ascii="Times New Roman" w:hAnsi="Times New Roman" w:cs="Times New Roman"/>
        </w:rPr>
        <w:t>, which underlie</w:t>
      </w:r>
      <w:r w:rsidR="004C5261" w:rsidRPr="0068442A">
        <w:rPr>
          <w:rFonts w:ascii="Times New Roman" w:hAnsi="Times New Roman" w:cs="Times New Roman"/>
        </w:rPr>
        <w:t xml:space="preserve"> the dominant normative frameworks of policy goals,</w:t>
      </w:r>
      <w:r w:rsidR="0040302A" w:rsidRPr="0068442A">
        <w:rPr>
          <w:rFonts w:ascii="Times New Roman" w:hAnsi="Times New Roman" w:cs="Times New Roman"/>
        </w:rPr>
        <w:t xml:space="preserve"> do </w:t>
      </w:r>
      <w:r w:rsidR="00AA16B7" w:rsidRPr="0068442A">
        <w:rPr>
          <w:rFonts w:ascii="Times New Roman" w:hAnsi="Times New Roman" w:cs="Times New Roman"/>
        </w:rPr>
        <w:t>not stipulate</w:t>
      </w:r>
      <w:r w:rsidR="0040302A" w:rsidRPr="0068442A">
        <w:rPr>
          <w:rFonts w:ascii="Times New Roman" w:hAnsi="Times New Roman" w:cs="Times New Roman"/>
        </w:rPr>
        <w:t xml:space="preserve"> a deeper understanding of gender equality</w:t>
      </w:r>
      <w:r w:rsidR="007D76F5" w:rsidRPr="0068442A">
        <w:rPr>
          <w:rFonts w:ascii="Times New Roman" w:hAnsi="Times New Roman" w:cs="Times New Roman"/>
        </w:rPr>
        <w:t xml:space="preserve">; </w:t>
      </w:r>
      <w:r w:rsidR="004C5261" w:rsidRPr="0068442A">
        <w:rPr>
          <w:rFonts w:ascii="Times New Roman" w:hAnsi="Times New Roman" w:cs="Times New Roman"/>
        </w:rPr>
        <w:t>they focus on quantifiable ind</w:t>
      </w:r>
      <w:r w:rsidR="00296D72" w:rsidRPr="0068442A">
        <w:rPr>
          <w:rFonts w:ascii="Times New Roman" w:hAnsi="Times New Roman" w:cs="Times New Roman"/>
        </w:rPr>
        <w:t>icators</w:t>
      </w:r>
      <w:r w:rsidR="00D05CB4" w:rsidRPr="0068442A">
        <w:rPr>
          <w:rFonts w:ascii="Times New Roman" w:hAnsi="Times New Roman" w:cs="Times New Roman"/>
        </w:rPr>
        <w:t>,</w:t>
      </w:r>
      <w:r w:rsidR="00296D72" w:rsidRPr="0068442A">
        <w:rPr>
          <w:rFonts w:ascii="Times New Roman" w:hAnsi="Times New Roman" w:cs="Times New Roman"/>
        </w:rPr>
        <w:t xml:space="preserve"> such as schooling ratio</w:t>
      </w:r>
      <w:r w:rsidR="007D76F5" w:rsidRPr="0068442A">
        <w:rPr>
          <w:rFonts w:ascii="Times New Roman" w:hAnsi="Times New Roman" w:cs="Times New Roman"/>
        </w:rPr>
        <w:t xml:space="preserve"> and </w:t>
      </w:r>
      <w:r w:rsidR="004C5261" w:rsidRPr="0068442A">
        <w:rPr>
          <w:rFonts w:ascii="Times New Roman" w:hAnsi="Times New Roman" w:cs="Times New Roman"/>
        </w:rPr>
        <w:t>achievement</w:t>
      </w:r>
      <w:r w:rsidR="007D76F5" w:rsidRPr="0068442A">
        <w:rPr>
          <w:rFonts w:ascii="Times New Roman" w:hAnsi="Times New Roman" w:cs="Times New Roman"/>
        </w:rPr>
        <w:t>,</w:t>
      </w:r>
      <w:r w:rsidR="004C5261" w:rsidRPr="0068442A">
        <w:rPr>
          <w:rFonts w:ascii="Times New Roman" w:hAnsi="Times New Roman" w:cs="Times New Roman"/>
        </w:rPr>
        <w:t xml:space="preserve"> with no concern </w:t>
      </w:r>
      <w:r w:rsidR="007D76F5" w:rsidRPr="0068442A">
        <w:rPr>
          <w:rFonts w:ascii="Times New Roman" w:hAnsi="Times New Roman" w:cs="Times New Roman"/>
        </w:rPr>
        <w:t>for</w:t>
      </w:r>
      <w:r w:rsidR="004C5261" w:rsidRPr="0068442A">
        <w:rPr>
          <w:rFonts w:ascii="Times New Roman" w:hAnsi="Times New Roman" w:cs="Times New Roman"/>
        </w:rPr>
        <w:t xml:space="preserve"> qualitative indicators</w:t>
      </w:r>
      <w:r w:rsidR="00BC6895" w:rsidRPr="0068442A">
        <w:rPr>
          <w:rFonts w:ascii="Times New Roman" w:hAnsi="Times New Roman" w:cs="Times New Roman"/>
        </w:rPr>
        <w:t>,</w:t>
      </w:r>
      <w:r w:rsidR="004C5261" w:rsidRPr="0068442A">
        <w:rPr>
          <w:rFonts w:ascii="Times New Roman" w:hAnsi="Times New Roman" w:cs="Times New Roman"/>
        </w:rPr>
        <w:t xml:space="preserve"> such as experiences or </w:t>
      </w:r>
      <w:r w:rsidR="00941A6C" w:rsidRPr="0068442A">
        <w:rPr>
          <w:rFonts w:ascii="Times New Roman" w:hAnsi="Times New Roman" w:cs="Times New Roman"/>
        </w:rPr>
        <w:t xml:space="preserve">the </w:t>
      </w:r>
      <w:r w:rsidR="004C5261" w:rsidRPr="0068442A">
        <w:rPr>
          <w:rFonts w:ascii="Times New Roman" w:hAnsi="Times New Roman" w:cs="Times New Roman"/>
        </w:rPr>
        <w:t>valued beings and doings of individuals.</w:t>
      </w:r>
      <w:r w:rsidR="00F80155" w:rsidRPr="0068442A">
        <w:rPr>
          <w:rFonts w:ascii="Times New Roman" w:hAnsi="Times New Roman" w:cs="Times New Roman"/>
        </w:rPr>
        <w:t xml:space="preserve"> </w:t>
      </w:r>
    </w:p>
    <w:p w14:paraId="01C4EF76" w14:textId="773BCF02" w:rsidR="0040302A" w:rsidRPr="0068442A" w:rsidRDefault="00B8546B" w:rsidP="006A3CCA">
      <w:pPr>
        <w:autoSpaceDE w:val="0"/>
        <w:autoSpaceDN w:val="0"/>
        <w:adjustRightInd w:val="0"/>
        <w:spacing w:after="0" w:line="360" w:lineRule="auto"/>
        <w:ind w:firstLine="720"/>
        <w:jc w:val="both"/>
        <w:rPr>
          <w:rFonts w:ascii="Times New Roman" w:hAnsi="Times New Roman" w:cs="Times New Roman"/>
        </w:rPr>
      </w:pPr>
      <w:r w:rsidRPr="0068442A">
        <w:rPr>
          <w:rFonts w:ascii="Times New Roman" w:hAnsi="Times New Roman" w:cs="Times New Roman"/>
        </w:rPr>
        <w:t xml:space="preserve">As is often the case in debates of gender equality in Turkey, policy development </w:t>
      </w:r>
      <w:r w:rsidR="002E2630" w:rsidRPr="0068442A">
        <w:rPr>
          <w:rFonts w:ascii="Times New Roman" w:hAnsi="Times New Roman" w:cs="Times New Roman"/>
        </w:rPr>
        <w:t>does not as</w:t>
      </w:r>
      <w:r w:rsidRPr="0068442A">
        <w:rPr>
          <w:rFonts w:ascii="Times New Roman" w:hAnsi="Times New Roman" w:cs="Times New Roman"/>
        </w:rPr>
        <w:t>pire to achieve gender justice</w:t>
      </w:r>
      <w:r w:rsidR="00167858" w:rsidRPr="0068442A">
        <w:rPr>
          <w:rFonts w:ascii="Times New Roman" w:hAnsi="Times New Roman" w:cs="Times New Roman"/>
        </w:rPr>
        <w:t xml:space="preserve">; </w:t>
      </w:r>
      <w:r w:rsidR="003B28FF" w:rsidRPr="0068442A">
        <w:rPr>
          <w:rFonts w:ascii="Times New Roman" w:hAnsi="Times New Roman" w:cs="Times New Roman"/>
        </w:rPr>
        <w:t xml:space="preserve">however, </w:t>
      </w:r>
      <w:r w:rsidR="00FD4B73" w:rsidRPr="0068442A">
        <w:rPr>
          <w:rFonts w:ascii="Times New Roman" w:hAnsi="Times New Roman" w:cs="Times New Roman"/>
        </w:rPr>
        <w:t xml:space="preserve">where </w:t>
      </w:r>
      <w:r w:rsidR="00AA003D" w:rsidRPr="0068442A">
        <w:rPr>
          <w:rFonts w:ascii="Times New Roman" w:hAnsi="Times New Roman" w:cs="Times New Roman"/>
        </w:rPr>
        <w:t>it does so</w:t>
      </w:r>
      <w:r w:rsidR="00167858" w:rsidRPr="0068442A">
        <w:rPr>
          <w:rFonts w:ascii="Times New Roman" w:hAnsi="Times New Roman" w:cs="Times New Roman"/>
        </w:rPr>
        <w:t>,</w:t>
      </w:r>
      <w:r w:rsidR="00AA003D" w:rsidRPr="0068442A">
        <w:rPr>
          <w:rFonts w:ascii="Times New Roman" w:hAnsi="Times New Roman" w:cs="Times New Roman"/>
        </w:rPr>
        <w:t xml:space="preserve"> the e</w:t>
      </w:r>
      <w:r w:rsidR="00296D72" w:rsidRPr="0068442A">
        <w:rPr>
          <w:rFonts w:ascii="Times New Roman" w:hAnsi="Times New Roman" w:cs="Times New Roman"/>
        </w:rPr>
        <w:t>mphasis is o</w:t>
      </w:r>
      <w:r w:rsidR="00AA003D" w:rsidRPr="0068442A">
        <w:rPr>
          <w:rFonts w:ascii="Times New Roman" w:hAnsi="Times New Roman" w:cs="Times New Roman"/>
        </w:rPr>
        <w:t>n quantifiable indicators</w:t>
      </w:r>
      <w:r w:rsidR="004C27BA" w:rsidRPr="0068442A">
        <w:rPr>
          <w:rFonts w:ascii="Times New Roman" w:hAnsi="Times New Roman" w:cs="Times New Roman"/>
        </w:rPr>
        <w:t>,</w:t>
      </w:r>
      <w:r w:rsidR="00AA003D" w:rsidRPr="0068442A">
        <w:rPr>
          <w:rFonts w:ascii="Times New Roman" w:hAnsi="Times New Roman" w:cs="Times New Roman"/>
        </w:rPr>
        <w:t xml:space="preserve"> of closing the gaps and equalising the numbers</w:t>
      </w:r>
      <w:r w:rsidR="00167858" w:rsidRPr="0068442A">
        <w:rPr>
          <w:rFonts w:ascii="Times New Roman" w:hAnsi="Times New Roman" w:cs="Times New Roman"/>
        </w:rPr>
        <w:t>,</w:t>
      </w:r>
      <w:r w:rsidR="007C1C36" w:rsidRPr="0068442A">
        <w:rPr>
          <w:rFonts w:ascii="Times New Roman" w:hAnsi="Times New Roman" w:cs="Times New Roman"/>
        </w:rPr>
        <w:t xml:space="preserve"> as </w:t>
      </w:r>
      <w:r w:rsidR="00167858" w:rsidRPr="0068442A">
        <w:rPr>
          <w:rFonts w:ascii="Times New Roman" w:hAnsi="Times New Roman" w:cs="Times New Roman"/>
        </w:rPr>
        <w:t xml:space="preserve">is </w:t>
      </w:r>
      <w:r w:rsidR="004C27BA" w:rsidRPr="0068442A">
        <w:rPr>
          <w:rFonts w:ascii="Times New Roman" w:hAnsi="Times New Roman" w:cs="Times New Roman"/>
        </w:rPr>
        <w:t xml:space="preserve">indicated </w:t>
      </w:r>
      <w:r w:rsidR="003715C0">
        <w:rPr>
          <w:rFonts w:ascii="Times New Roman" w:hAnsi="Times New Roman" w:cs="Times New Roman"/>
        </w:rPr>
        <w:t>under</w:t>
      </w:r>
      <w:r w:rsidR="003715C0" w:rsidRPr="0068442A">
        <w:rPr>
          <w:rFonts w:ascii="Times New Roman" w:hAnsi="Times New Roman" w:cs="Times New Roman"/>
        </w:rPr>
        <w:t xml:space="preserve"> </w:t>
      </w:r>
      <w:r w:rsidR="00167858" w:rsidRPr="0068442A">
        <w:rPr>
          <w:rFonts w:ascii="Times New Roman" w:hAnsi="Times New Roman" w:cs="Times New Roman"/>
        </w:rPr>
        <w:t xml:space="preserve">the </w:t>
      </w:r>
      <w:r w:rsidR="007C1C36" w:rsidRPr="0068442A">
        <w:rPr>
          <w:rFonts w:ascii="Times New Roman" w:hAnsi="Times New Roman" w:cs="Times New Roman"/>
        </w:rPr>
        <w:t>human capital and rights approaches</w:t>
      </w:r>
      <w:r w:rsidR="00167858" w:rsidRPr="0068442A">
        <w:rPr>
          <w:rFonts w:ascii="Times New Roman" w:hAnsi="Times New Roman" w:cs="Times New Roman"/>
        </w:rPr>
        <w:t>.</w:t>
      </w:r>
      <w:r w:rsidR="00AA003D" w:rsidRPr="0068442A">
        <w:rPr>
          <w:rFonts w:ascii="Times New Roman" w:hAnsi="Times New Roman" w:cs="Times New Roman"/>
        </w:rPr>
        <w:t xml:space="preserve"> The absence of such a policy understanding </w:t>
      </w:r>
      <w:r w:rsidR="00167858" w:rsidRPr="0068442A">
        <w:rPr>
          <w:rFonts w:ascii="Times New Roman" w:hAnsi="Times New Roman" w:cs="Times New Roman"/>
        </w:rPr>
        <w:t xml:space="preserve">leads to </w:t>
      </w:r>
      <w:r w:rsidR="00AA003D" w:rsidRPr="0068442A">
        <w:rPr>
          <w:rFonts w:ascii="Times New Roman" w:hAnsi="Times New Roman" w:cs="Times New Roman"/>
        </w:rPr>
        <w:t xml:space="preserve">the need to </w:t>
      </w:r>
      <w:r w:rsidR="00167858" w:rsidRPr="0068442A">
        <w:rPr>
          <w:rFonts w:ascii="Times New Roman" w:hAnsi="Times New Roman" w:cs="Times New Roman"/>
        </w:rPr>
        <w:t>consider</w:t>
      </w:r>
      <w:r w:rsidR="00AA003D" w:rsidRPr="0068442A">
        <w:rPr>
          <w:rFonts w:ascii="Times New Roman" w:hAnsi="Times New Roman" w:cs="Times New Roman"/>
        </w:rPr>
        <w:t xml:space="preserve"> the impact</w:t>
      </w:r>
      <w:r w:rsidR="00F41F19" w:rsidRPr="0068442A">
        <w:rPr>
          <w:rFonts w:ascii="Times New Roman" w:hAnsi="Times New Roman" w:cs="Times New Roman"/>
        </w:rPr>
        <w:t>s</w:t>
      </w:r>
      <w:r w:rsidR="00AA003D" w:rsidRPr="0068442A">
        <w:rPr>
          <w:rFonts w:ascii="Times New Roman" w:hAnsi="Times New Roman" w:cs="Times New Roman"/>
        </w:rPr>
        <w:t xml:space="preserve"> of new education reforms in relation to </w:t>
      </w:r>
      <w:r w:rsidR="00F41F19" w:rsidRPr="0068442A">
        <w:rPr>
          <w:rFonts w:ascii="Times New Roman" w:hAnsi="Times New Roman" w:cs="Times New Roman"/>
        </w:rPr>
        <w:t xml:space="preserve">human development and the expansion of opportunities and freedoms as a </w:t>
      </w:r>
      <w:r w:rsidR="00D31616" w:rsidRPr="0068442A">
        <w:rPr>
          <w:rFonts w:ascii="Times New Roman" w:hAnsi="Times New Roman" w:cs="Times New Roman"/>
        </w:rPr>
        <w:t>necess</w:t>
      </w:r>
      <w:r w:rsidR="00D31616">
        <w:rPr>
          <w:rFonts w:ascii="Times New Roman" w:hAnsi="Times New Roman" w:cs="Times New Roman"/>
        </w:rPr>
        <w:t>ary</w:t>
      </w:r>
      <w:r w:rsidR="00D31616" w:rsidRPr="0068442A">
        <w:rPr>
          <w:rFonts w:ascii="Times New Roman" w:hAnsi="Times New Roman" w:cs="Times New Roman"/>
        </w:rPr>
        <w:t xml:space="preserve"> </w:t>
      </w:r>
      <w:r w:rsidRPr="0068442A">
        <w:rPr>
          <w:rFonts w:ascii="Times New Roman" w:hAnsi="Times New Roman" w:cs="Times New Roman"/>
        </w:rPr>
        <w:t xml:space="preserve">indicator of </w:t>
      </w:r>
      <w:r w:rsidR="00F41F19" w:rsidRPr="0068442A">
        <w:rPr>
          <w:rFonts w:ascii="Times New Roman" w:hAnsi="Times New Roman" w:cs="Times New Roman"/>
        </w:rPr>
        <w:t xml:space="preserve">gender equality. Therefore, </w:t>
      </w:r>
      <w:r w:rsidR="00167858" w:rsidRPr="0068442A">
        <w:rPr>
          <w:rFonts w:ascii="Times New Roman" w:hAnsi="Times New Roman" w:cs="Times New Roman"/>
        </w:rPr>
        <w:t xml:space="preserve">the </w:t>
      </w:r>
      <w:r w:rsidR="00F41F19" w:rsidRPr="0068442A">
        <w:rPr>
          <w:rFonts w:ascii="Times New Roman" w:hAnsi="Times New Roman" w:cs="Times New Roman"/>
        </w:rPr>
        <w:t xml:space="preserve">conceptualisation of gender </w:t>
      </w:r>
      <w:r w:rsidR="007B7405" w:rsidRPr="0068442A">
        <w:rPr>
          <w:rFonts w:ascii="Times New Roman" w:hAnsi="Times New Roman" w:cs="Times New Roman"/>
        </w:rPr>
        <w:t>e</w:t>
      </w:r>
      <w:r w:rsidR="00F41F19" w:rsidRPr="0068442A">
        <w:rPr>
          <w:rFonts w:ascii="Times New Roman" w:hAnsi="Times New Roman" w:cs="Times New Roman"/>
        </w:rPr>
        <w:t xml:space="preserve">quality </w:t>
      </w:r>
      <w:r w:rsidR="00CA36FE" w:rsidRPr="0068442A">
        <w:rPr>
          <w:rFonts w:ascii="Times New Roman" w:hAnsi="Times New Roman" w:cs="Times New Roman"/>
        </w:rPr>
        <w:t xml:space="preserve">from </w:t>
      </w:r>
      <w:r w:rsidR="007B7405" w:rsidRPr="0068442A">
        <w:rPr>
          <w:rFonts w:ascii="Times New Roman" w:hAnsi="Times New Roman" w:cs="Times New Roman"/>
        </w:rPr>
        <w:t xml:space="preserve">the </w:t>
      </w:r>
      <w:r w:rsidR="00CA36FE" w:rsidRPr="0068442A">
        <w:rPr>
          <w:rFonts w:ascii="Times New Roman" w:hAnsi="Times New Roman" w:cs="Times New Roman"/>
        </w:rPr>
        <w:t>capabilities</w:t>
      </w:r>
      <w:r w:rsidR="00F41F19" w:rsidRPr="0068442A">
        <w:rPr>
          <w:rFonts w:ascii="Times New Roman" w:hAnsi="Times New Roman" w:cs="Times New Roman"/>
        </w:rPr>
        <w:t xml:space="preserve"> approach guides us </w:t>
      </w:r>
      <w:r w:rsidR="00167858" w:rsidRPr="0068442A">
        <w:rPr>
          <w:rFonts w:ascii="Times New Roman" w:hAnsi="Times New Roman" w:cs="Times New Roman"/>
        </w:rPr>
        <w:t>to</w:t>
      </w:r>
      <w:r w:rsidR="000743C7" w:rsidRPr="0068442A">
        <w:rPr>
          <w:rFonts w:ascii="Times New Roman" w:hAnsi="Times New Roman" w:cs="Times New Roman"/>
        </w:rPr>
        <w:t>wards</w:t>
      </w:r>
      <w:r w:rsidR="00167858" w:rsidRPr="0068442A">
        <w:rPr>
          <w:rFonts w:ascii="Times New Roman" w:hAnsi="Times New Roman" w:cs="Times New Roman"/>
        </w:rPr>
        <w:t xml:space="preserve"> </w:t>
      </w:r>
      <w:r w:rsidR="000743C7" w:rsidRPr="0068442A">
        <w:rPr>
          <w:rFonts w:ascii="Times New Roman" w:hAnsi="Times New Roman" w:cs="Times New Roman"/>
        </w:rPr>
        <w:t xml:space="preserve">a </w:t>
      </w:r>
      <w:r w:rsidR="00F80155" w:rsidRPr="0068442A">
        <w:rPr>
          <w:rFonts w:ascii="Times New Roman" w:hAnsi="Times New Roman" w:cs="Times New Roman"/>
        </w:rPr>
        <w:t>deeper</w:t>
      </w:r>
      <w:r w:rsidR="00F41F19" w:rsidRPr="0068442A">
        <w:rPr>
          <w:rFonts w:ascii="Times New Roman" w:hAnsi="Times New Roman" w:cs="Times New Roman"/>
        </w:rPr>
        <w:t xml:space="preserve"> </w:t>
      </w:r>
      <w:r w:rsidR="000743C7" w:rsidRPr="0068442A">
        <w:rPr>
          <w:rFonts w:ascii="Times New Roman" w:hAnsi="Times New Roman" w:cs="Times New Roman"/>
        </w:rPr>
        <w:t xml:space="preserve">social transformation, not </w:t>
      </w:r>
      <w:r w:rsidR="00F41F19" w:rsidRPr="0068442A">
        <w:rPr>
          <w:rFonts w:ascii="Times New Roman" w:hAnsi="Times New Roman" w:cs="Times New Roman"/>
        </w:rPr>
        <w:t xml:space="preserve">just goals </w:t>
      </w:r>
      <w:r w:rsidR="00167858" w:rsidRPr="0068442A">
        <w:rPr>
          <w:rFonts w:ascii="Times New Roman" w:hAnsi="Times New Roman" w:cs="Times New Roman"/>
        </w:rPr>
        <w:t xml:space="preserve">that </w:t>
      </w:r>
      <w:r w:rsidR="00FD788F" w:rsidRPr="0068442A">
        <w:rPr>
          <w:rFonts w:ascii="Times New Roman" w:hAnsi="Times New Roman" w:cs="Times New Roman"/>
        </w:rPr>
        <w:t>demonstrate</w:t>
      </w:r>
      <w:r w:rsidR="000743C7" w:rsidRPr="0068442A">
        <w:rPr>
          <w:rFonts w:ascii="Times New Roman" w:hAnsi="Times New Roman" w:cs="Times New Roman"/>
        </w:rPr>
        <w:t xml:space="preserve"> </w:t>
      </w:r>
      <w:r w:rsidR="00FD788F" w:rsidRPr="0068442A">
        <w:rPr>
          <w:rFonts w:ascii="Times New Roman" w:hAnsi="Times New Roman" w:cs="Times New Roman"/>
        </w:rPr>
        <w:t xml:space="preserve">this </w:t>
      </w:r>
      <w:r w:rsidR="00F41F19" w:rsidRPr="0068442A">
        <w:rPr>
          <w:rFonts w:ascii="Times New Roman" w:hAnsi="Times New Roman" w:cs="Times New Roman"/>
        </w:rPr>
        <w:t xml:space="preserve">process in educational settings. In the next section, we </w:t>
      </w:r>
      <w:r w:rsidR="00F80155" w:rsidRPr="0068442A">
        <w:rPr>
          <w:rFonts w:ascii="Times New Roman" w:hAnsi="Times New Roman" w:cs="Times New Roman"/>
        </w:rPr>
        <w:t>conceptuali</w:t>
      </w:r>
      <w:r w:rsidR="00167858" w:rsidRPr="0068442A">
        <w:rPr>
          <w:rFonts w:ascii="Times New Roman" w:hAnsi="Times New Roman" w:cs="Times New Roman"/>
        </w:rPr>
        <w:t>s</w:t>
      </w:r>
      <w:r w:rsidR="00F80155" w:rsidRPr="0068442A">
        <w:rPr>
          <w:rFonts w:ascii="Times New Roman" w:hAnsi="Times New Roman" w:cs="Times New Roman"/>
        </w:rPr>
        <w:t>e</w:t>
      </w:r>
      <w:r w:rsidR="00F41F19" w:rsidRPr="0068442A">
        <w:rPr>
          <w:rFonts w:ascii="Times New Roman" w:hAnsi="Times New Roman" w:cs="Times New Roman"/>
        </w:rPr>
        <w:t xml:space="preserve"> gender equality from a capability-informed perspective</w:t>
      </w:r>
      <w:r w:rsidR="00FD46E9" w:rsidRPr="0068442A">
        <w:rPr>
          <w:rFonts w:ascii="Times New Roman" w:hAnsi="Times New Roman" w:cs="Times New Roman"/>
        </w:rPr>
        <w:t xml:space="preserve"> and </w:t>
      </w:r>
      <w:r w:rsidR="00167858" w:rsidRPr="0068442A">
        <w:rPr>
          <w:rFonts w:ascii="Times New Roman" w:hAnsi="Times New Roman" w:cs="Times New Roman"/>
        </w:rPr>
        <w:t xml:space="preserve">discuss </w:t>
      </w:r>
      <w:r w:rsidR="00FD46E9" w:rsidRPr="0068442A">
        <w:rPr>
          <w:rFonts w:ascii="Times New Roman" w:hAnsi="Times New Roman" w:cs="Times New Roman"/>
        </w:rPr>
        <w:t xml:space="preserve">how </w:t>
      </w:r>
      <w:r w:rsidR="006A3CCA" w:rsidRPr="0068442A">
        <w:rPr>
          <w:rFonts w:ascii="Times New Roman" w:hAnsi="Times New Roman" w:cs="Times New Roman"/>
        </w:rPr>
        <w:t>it</w:t>
      </w:r>
      <w:r w:rsidR="00FD46E9" w:rsidRPr="0068442A">
        <w:rPr>
          <w:rFonts w:ascii="Times New Roman" w:hAnsi="Times New Roman" w:cs="Times New Roman"/>
        </w:rPr>
        <w:t xml:space="preserve"> </w:t>
      </w:r>
      <w:r w:rsidR="007C1C36" w:rsidRPr="0068442A">
        <w:rPr>
          <w:rFonts w:ascii="Times New Roman" w:hAnsi="Times New Roman" w:cs="Times New Roman"/>
        </w:rPr>
        <w:t xml:space="preserve">is reflected </w:t>
      </w:r>
      <w:r w:rsidR="00167858" w:rsidRPr="0068442A">
        <w:rPr>
          <w:rFonts w:ascii="Times New Roman" w:hAnsi="Times New Roman" w:cs="Times New Roman"/>
        </w:rPr>
        <w:t>in</w:t>
      </w:r>
      <w:r w:rsidR="00F41F19" w:rsidRPr="0068442A">
        <w:rPr>
          <w:rFonts w:ascii="Times New Roman" w:hAnsi="Times New Roman" w:cs="Times New Roman"/>
        </w:rPr>
        <w:t xml:space="preserve"> policy development and evaluation. </w:t>
      </w:r>
    </w:p>
    <w:p w14:paraId="2ECB3DA8" w14:textId="77777777" w:rsidR="00F80155" w:rsidRPr="0068442A" w:rsidRDefault="00F80155" w:rsidP="00BF1E10">
      <w:pPr>
        <w:autoSpaceDE w:val="0"/>
        <w:autoSpaceDN w:val="0"/>
        <w:adjustRightInd w:val="0"/>
        <w:spacing w:after="0" w:line="360" w:lineRule="auto"/>
        <w:jc w:val="both"/>
        <w:rPr>
          <w:rFonts w:ascii="Times New Roman" w:hAnsi="Times New Roman" w:cs="Times New Roman"/>
          <w:b/>
        </w:rPr>
      </w:pPr>
    </w:p>
    <w:p w14:paraId="4F606E50" w14:textId="6018E123" w:rsidR="00467430" w:rsidRPr="0068442A" w:rsidRDefault="00F80155" w:rsidP="00BF1E10">
      <w:pPr>
        <w:autoSpaceDE w:val="0"/>
        <w:autoSpaceDN w:val="0"/>
        <w:adjustRightInd w:val="0"/>
        <w:spacing w:after="0" w:line="360" w:lineRule="auto"/>
        <w:jc w:val="both"/>
        <w:rPr>
          <w:rFonts w:ascii="Times New Roman" w:hAnsi="Times New Roman" w:cs="Times New Roman"/>
          <w:b/>
          <w:i/>
        </w:rPr>
      </w:pPr>
      <w:r w:rsidRPr="0068442A">
        <w:rPr>
          <w:rFonts w:ascii="Times New Roman" w:hAnsi="Times New Roman" w:cs="Times New Roman"/>
          <w:b/>
          <w:i/>
        </w:rPr>
        <w:t>Capability-informed gender equality in education and policy development</w:t>
      </w:r>
    </w:p>
    <w:p w14:paraId="3581F613" w14:textId="77777777" w:rsidR="00053520" w:rsidRPr="0068442A" w:rsidRDefault="00053520" w:rsidP="00BF1E10">
      <w:pPr>
        <w:autoSpaceDE w:val="0"/>
        <w:autoSpaceDN w:val="0"/>
        <w:adjustRightInd w:val="0"/>
        <w:spacing w:after="0" w:line="360" w:lineRule="auto"/>
        <w:jc w:val="both"/>
        <w:rPr>
          <w:rFonts w:ascii="Times New Roman" w:hAnsi="Times New Roman" w:cs="Times New Roman"/>
          <w:b/>
          <w:i/>
        </w:rPr>
      </w:pPr>
    </w:p>
    <w:p w14:paraId="43D8D21F" w14:textId="6C448051" w:rsidR="00F562F4" w:rsidRPr="0068442A" w:rsidRDefault="002005D3" w:rsidP="00BF1E10">
      <w:pPr>
        <w:autoSpaceDE w:val="0"/>
        <w:autoSpaceDN w:val="0"/>
        <w:adjustRightInd w:val="0"/>
        <w:spacing w:after="0" w:line="360" w:lineRule="auto"/>
        <w:jc w:val="both"/>
        <w:rPr>
          <w:rFonts w:ascii="Times New Roman" w:eastAsia="Times New Roman" w:hAnsi="Times New Roman" w:cs="Times New Roman"/>
        </w:rPr>
      </w:pPr>
      <w:r w:rsidRPr="0068442A">
        <w:rPr>
          <w:rFonts w:ascii="Times New Roman" w:hAnsi="Times New Roman" w:cs="Times New Roman"/>
        </w:rPr>
        <w:t>Sen’s (1999)</w:t>
      </w:r>
      <w:r w:rsidR="00F562F4" w:rsidRPr="0068442A">
        <w:rPr>
          <w:rFonts w:ascii="Times New Roman" w:hAnsi="Times New Roman" w:cs="Times New Roman"/>
        </w:rPr>
        <w:t xml:space="preserve"> capabilities approach is a normative framework </w:t>
      </w:r>
      <w:r w:rsidR="00EF741D" w:rsidRPr="0068442A">
        <w:rPr>
          <w:rFonts w:ascii="Times New Roman" w:hAnsi="Times New Roman" w:cs="Times New Roman"/>
        </w:rPr>
        <w:t>for</w:t>
      </w:r>
      <w:r w:rsidR="00F562F4" w:rsidRPr="0068442A">
        <w:rPr>
          <w:rFonts w:ascii="Times New Roman" w:hAnsi="Times New Roman" w:cs="Times New Roman"/>
        </w:rPr>
        <w:t xml:space="preserve"> human d</w:t>
      </w:r>
      <w:r w:rsidRPr="0068442A">
        <w:rPr>
          <w:rFonts w:ascii="Times New Roman" w:hAnsi="Times New Roman" w:cs="Times New Roman"/>
        </w:rPr>
        <w:t xml:space="preserve">evelopment based on </w:t>
      </w:r>
      <w:r w:rsidR="00F562F4" w:rsidRPr="0068442A">
        <w:rPr>
          <w:rFonts w:ascii="Times New Roman" w:eastAsia="Times New Roman" w:hAnsi="Times New Roman" w:cs="Times New Roman"/>
        </w:rPr>
        <w:t>the ideas of human dignity and social justice</w:t>
      </w:r>
      <w:r w:rsidR="00932291">
        <w:rPr>
          <w:rFonts w:ascii="Times New Roman" w:eastAsia="Times New Roman" w:hAnsi="Times New Roman" w:cs="Times New Roman"/>
        </w:rPr>
        <w:t>. It</w:t>
      </w:r>
      <w:r w:rsidR="00F562F4" w:rsidRPr="0068442A">
        <w:rPr>
          <w:rFonts w:ascii="Times New Roman" w:eastAsia="Times New Roman" w:hAnsi="Times New Roman" w:cs="Times New Roman"/>
        </w:rPr>
        <w:t xml:space="preserve"> offer</w:t>
      </w:r>
      <w:r w:rsidR="00932291">
        <w:rPr>
          <w:rFonts w:ascii="Times New Roman" w:eastAsia="Times New Roman" w:hAnsi="Times New Roman" w:cs="Times New Roman"/>
        </w:rPr>
        <w:t xml:space="preserve">s </w:t>
      </w:r>
      <w:r w:rsidR="00F562F4" w:rsidRPr="0068442A">
        <w:rPr>
          <w:rFonts w:ascii="Times New Roman" w:eastAsia="Times New Roman" w:hAnsi="Times New Roman" w:cs="Times New Roman"/>
        </w:rPr>
        <w:t xml:space="preserve">an alternative way of thinking about human well-being </w:t>
      </w:r>
      <w:r w:rsidR="00AE47DC" w:rsidRPr="0068442A">
        <w:rPr>
          <w:rFonts w:ascii="Times New Roman" w:eastAsia="Times New Roman" w:hAnsi="Times New Roman" w:cs="Times New Roman"/>
        </w:rPr>
        <w:t xml:space="preserve">in comparison to </w:t>
      </w:r>
      <w:r w:rsidR="00F562F4" w:rsidRPr="0068442A">
        <w:rPr>
          <w:rFonts w:ascii="Times New Roman" w:eastAsia="Times New Roman" w:hAnsi="Times New Roman" w:cs="Times New Roman"/>
        </w:rPr>
        <w:t xml:space="preserve">the theories of utilitarianism, </w:t>
      </w:r>
      <w:r w:rsidR="008D361F" w:rsidRPr="0068442A">
        <w:rPr>
          <w:rFonts w:ascii="Times New Roman" w:eastAsia="Times New Roman" w:hAnsi="Times New Roman" w:cs="Times New Roman"/>
        </w:rPr>
        <w:t xml:space="preserve">a </w:t>
      </w:r>
      <w:r w:rsidR="00F562F4" w:rsidRPr="0068442A">
        <w:rPr>
          <w:rFonts w:ascii="Times New Roman" w:eastAsia="Times New Roman" w:hAnsi="Times New Roman" w:cs="Times New Roman"/>
        </w:rPr>
        <w:t>preference-based</w:t>
      </w:r>
      <w:r w:rsidR="008D361F" w:rsidRPr="0068442A">
        <w:rPr>
          <w:rFonts w:ascii="Times New Roman" w:eastAsia="Times New Roman" w:hAnsi="Times New Roman" w:cs="Times New Roman"/>
        </w:rPr>
        <w:t xml:space="preserve"> or</w:t>
      </w:r>
      <w:r w:rsidR="00F562F4" w:rsidRPr="0068442A">
        <w:rPr>
          <w:rFonts w:ascii="Times New Roman" w:eastAsia="Times New Roman" w:hAnsi="Times New Roman" w:cs="Times New Roman"/>
        </w:rPr>
        <w:t xml:space="preserve"> income-based </w:t>
      </w:r>
      <w:r w:rsidR="008D361F" w:rsidRPr="0068442A">
        <w:rPr>
          <w:rFonts w:ascii="Times New Roman" w:eastAsia="Times New Roman" w:hAnsi="Times New Roman" w:cs="Times New Roman"/>
        </w:rPr>
        <w:t xml:space="preserve">approach, </w:t>
      </w:r>
      <w:r w:rsidR="00F562F4" w:rsidRPr="0068442A">
        <w:rPr>
          <w:rFonts w:ascii="Times New Roman" w:eastAsia="Times New Roman" w:hAnsi="Times New Roman" w:cs="Times New Roman"/>
        </w:rPr>
        <w:t xml:space="preserve">or theories </w:t>
      </w:r>
      <w:r w:rsidR="00F562F4" w:rsidRPr="0068442A">
        <w:rPr>
          <w:rFonts w:ascii="Times New Roman" w:eastAsia="Times New Roman" w:hAnsi="Times New Roman" w:cs="Times New Roman"/>
        </w:rPr>
        <w:lastRenderedPageBreak/>
        <w:t>of distributive social justice</w:t>
      </w:r>
      <w:r w:rsidR="00AE47DC" w:rsidRPr="0068442A">
        <w:rPr>
          <w:rFonts w:ascii="Times New Roman" w:eastAsia="Times New Roman" w:hAnsi="Times New Roman" w:cs="Times New Roman"/>
        </w:rPr>
        <w:t>,</w:t>
      </w:r>
      <w:r w:rsidR="00F562F4" w:rsidRPr="0068442A">
        <w:rPr>
          <w:rFonts w:ascii="Times New Roman" w:eastAsia="Times New Roman" w:hAnsi="Times New Roman" w:cs="Times New Roman"/>
        </w:rPr>
        <w:t xml:space="preserve"> such as </w:t>
      </w:r>
      <w:r w:rsidR="00AE47DC" w:rsidRPr="0068442A">
        <w:rPr>
          <w:rFonts w:ascii="Times New Roman" w:eastAsia="Times New Roman" w:hAnsi="Times New Roman" w:cs="Times New Roman"/>
        </w:rPr>
        <w:t xml:space="preserve">those by </w:t>
      </w:r>
      <w:r w:rsidR="00F562F4" w:rsidRPr="0068442A">
        <w:rPr>
          <w:rFonts w:ascii="Times New Roman" w:eastAsia="Times New Roman" w:hAnsi="Times New Roman" w:cs="Times New Roman"/>
        </w:rPr>
        <w:t>Norzick and John Rawl. It looks into the real capabilities of people to function and the opportunities individuals have to realise the functionings that they value. The</w:t>
      </w:r>
      <w:r w:rsidR="00141FC8" w:rsidRPr="0068442A">
        <w:rPr>
          <w:rFonts w:ascii="Times New Roman" w:eastAsia="Times New Roman" w:hAnsi="Times New Roman" w:cs="Times New Roman"/>
        </w:rPr>
        <w:t>se</w:t>
      </w:r>
      <w:r w:rsidR="00F562F4" w:rsidRPr="0068442A">
        <w:rPr>
          <w:rFonts w:ascii="Times New Roman" w:eastAsia="Times New Roman" w:hAnsi="Times New Roman" w:cs="Times New Roman"/>
        </w:rPr>
        <w:t xml:space="preserve"> functionings can be, for example: working, being well-educated, </w:t>
      </w:r>
      <w:r w:rsidR="00FF04ED">
        <w:rPr>
          <w:rFonts w:ascii="Times New Roman" w:eastAsia="Times New Roman" w:hAnsi="Times New Roman" w:cs="Times New Roman"/>
        </w:rPr>
        <w:t xml:space="preserve">or </w:t>
      </w:r>
      <w:r w:rsidR="00F562F4" w:rsidRPr="0068442A">
        <w:rPr>
          <w:rFonts w:ascii="Times New Roman" w:eastAsia="Times New Roman" w:hAnsi="Times New Roman" w:cs="Times New Roman"/>
        </w:rPr>
        <w:t>being safe</w:t>
      </w:r>
      <w:r w:rsidR="00B767A8" w:rsidRPr="0068442A">
        <w:rPr>
          <w:rFonts w:ascii="Times New Roman" w:eastAsia="Times New Roman" w:hAnsi="Times New Roman" w:cs="Times New Roman"/>
        </w:rPr>
        <w:t>. C</w:t>
      </w:r>
      <w:r w:rsidR="00F562F4" w:rsidRPr="0068442A">
        <w:rPr>
          <w:rFonts w:ascii="Times New Roman" w:eastAsia="Times New Roman" w:hAnsi="Times New Roman" w:cs="Times New Roman"/>
        </w:rPr>
        <w:t xml:space="preserve">apabilities are the combinations of functionings that a person </w:t>
      </w:r>
      <w:r w:rsidR="000B5D0B">
        <w:rPr>
          <w:rFonts w:ascii="Times New Roman" w:eastAsia="Times New Roman" w:hAnsi="Times New Roman" w:cs="Times New Roman"/>
        </w:rPr>
        <w:t>has</w:t>
      </w:r>
      <w:r w:rsidR="000B5D0B" w:rsidRPr="0068442A">
        <w:rPr>
          <w:rFonts w:ascii="Times New Roman" w:eastAsia="Times New Roman" w:hAnsi="Times New Roman" w:cs="Times New Roman"/>
        </w:rPr>
        <w:t xml:space="preserve"> </w:t>
      </w:r>
      <w:r w:rsidR="00F562F4" w:rsidRPr="0068442A">
        <w:rPr>
          <w:rFonts w:ascii="Times New Roman" w:eastAsia="Times New Roman" w:hAnsi="Times New Roman" w:cs="Times New Roman"/>
        </w:rPr>
        <w:t>the possibility of achieving (Sen</w:t>
      </w:r>
      <w:r w:rsidR="003F5D0F" w:rsidRPr="0068442A">
        <w:rPr>
          <w:rFonts w:ascii="Times New Roman" w:eastAsia="Times New Roman" w:hAnsi="Times New Roman" w:cs="Times New Roman"/>
        </w:rPr>
        <w:t xml:space="preserve"> 1993,</w:t>
      </w:r>
      <w:r w:rsidR="00F562F4" w:rsidRPr="0068442A">
        <w:rPr>
          <w:rFonts w:ascii="Times New Roman" w:eastAsia="Times New Roman" w:hAnsi="Times New Roman" w:cs="Times New Roman"/>
        </w:rPr>
        <w:t xml:space="preserve"> 31)</w:t>
      </w:r>
      <w:r w:rsidR="00B767A8" w:rsidRPr="0068442A">
        <w:rPr>
          <w:rFonts w:ascii="Times New Roman" w:eastAsia="Times New Roman" w:hAnsi="Times New Roman" w:cs="Times New Roman"/>
        </w:rPr>
        <w:t xml:space="preserve">, </w:t>
      </w:r>
      <w:r w:rsidR="00F562F4" w:rsidRPr="0068442A">
        <w:rPr>
          <w:rFonts w:ascii="Times New Roman" w:eastAsia="Times New Roman" w:hAnsi="Times New Roman" w:cs="Times New Roman"/>
        </w:rPr>
        <w:t xml:space="preserve">such as having the </w:t>
      </w:r>
      <w:r w:rsidR="000B5D0B">
        <w:rPr>
          <w:rFonts w:ascii="Times New Roman" w:eastAsia="Times New Roman" w:hAnsi="Times New Roman" w:cs="Times New Roman"/>
        </w:rPr>
        <w:t xml:space="preserve">necessary </w:t>
      </w:r>
      <w:r w:rsidR="00F562F4" w:rsidRPr="0068442A">
        <w:rPr>
          <w:rFonts w:ascii="Times New Roman" w:eastAsia="Times New Roman" w:hAnsi="Times New Roman" w:cs="Times New Roman"/>
        </w:rPr>
        <w:t xml:space="preserve">conditions (hospital, healthcare workers) to recover from an illness. </w:t>
      </w:r>
      <w:r w:rsidR="00820410" w:rsidRPr="0068442A">
        <w:rPr>
          <w:rFonts w:ascii="Times New Roman" w:eastAsia="Times New Roman" w:hAnsi="Times New Roman" w:cs="Times New Roman"/>
        </w:rPr>
        <w:t>T</w:t>
      </w:r>
      <w:r w:rsidR="00F562F4" w:rsidRPr="0068442A">
        <w:rPr>
          <w:rFonts w:ascii="Times New Roman" w:eastAsia="Times New Roman" w:hAnsi="Times New Roman" w:cs="Times New Roman"/>
        </w:rPr>
        <w:t>he important point to question is to what extent people have genuine access to their capabilities</w:t>
      </w:r>
      <w:r w:rsidR="009601C9">
        <w:rPr>
          <w:rFonts w:ascii="Times New Roman" w:eastAsia="Times New Roman" w:hAnsi="Times New Roman" w:cs="Times New Roman"/>
        </w:rPr>
        <w:t>,</w:t>
      </w:r>
      <w:r w:rsidR="00F562F4" w:rsidRPr="0068442A">
        <w:rPr>
          <w:rFonts w:ascii="Times New Roman" w:eastAsia="Times New Roman" w:hAnsi="Times New Roman" w:cs="Times New Roman"/>
        </w:rPr>
        <w:t xml:space="preserve"> and </w:t>
      </w:r>
      <w:r w:rsidR="00820410" w:rsidRPr="0068442A">
        <w:rPr>
          <w:rFonts w:ascii="Times New Roman" w:eastAsia="Times New Roman" w:hAnsi="Times New Roman" w:cs="Times New Roman"/>
        </w:rPr>
        <w:t>the ability</w:t>
      </w:r>
      <w:r w:rsidR="009601C9">
        <w:rPr>
          <w:rFonts w:ascii="Times New Roman" w:eastAsia="Times New Roman" w:hAnsi="Times New Roman" w:cs="Times New Roman"/>
        </w:rPr>
        <w:t xml:space="preserve"> they have</w:t>
      </w:r>
      <w:r w:rsidR="00820410" w:rsidRPr="0068442A">
        <w:rPr>
          <w:rFonts w:ascii="Times New Roman" w:eastAsia="Times New Roman" w:hAnsi="Times New Roman" w:cs="Times New Roman"/>
        </w:rPr>
        <w:t xml:space="preserve"> to </w:t>
      </w:r>
      <w:r w:rsidR="00F562F4" w:rsidRPr="0068442A">
        <w:rPr>
          <w:rFonts w:ascii="Times New Roman" w:eastAsia="Times New Roman" w:hAnsi="Times New Roman" w:cs="Times New Roman"/>
        </w:rPr>
        <w:t>convert the resources/opportunities at their disposal into valuable achievement</w:t>
      </w:r>
      <w:r w:rsidR="008D6EC3" w:rsidRPr="0068442A">
        <w:rPr>
          <w:rFonts w:ascii="Times New Roman" w:eastAsia="Times New Roman" w:hAnsi="Times New Roman" w:cs="Times New Roman"/>
        </w:rPr>
        <w:t>s</w:t>
      </w:r>
      <w:r w:rsidR="00F562F4" w:rsidRPr="0068442A">
        <w:rPr>
          <w:rFonts w:ascii="Times New Roman" w:eastAsia="Times New Roman" w:hAnsi="Times New Roman" w:cs="Times New Roman"/>
        </w:rPr>
        <w:t xml:space="preserve">. </w:t>
      </w:r>
    </w:p>
    <w:p w14:paraId="10CA6932" w14:textId="0EBCA618" w:rsidR="008973B1" w:rsidRPr="0068442A" w:rsidRDefault="008973B1" w:rsidP="00BF1E10">
      <w:pPr>
        <w:autoSpaceDE w:val="0"/>
        <w:autoSpaceDN w:val="0"/>
        <w:adjustRightInd w:val="0"/>
        <w:spacing w:after="0" w:line="360" w:lineRule="auto"/>
        <w:jc w:val="both"/>
        <w:rPr>
          <w:rFonts w:ascii="Times New Roman" w:eastAsia="Times New Roman" w:hAnsi="Times New Roman" w:cs="Times New Roman"/>
        </w:rPr>
      </w:pPr>
    </w:p>
    <w:p w14:paraId="35892795" w14:textId="5D80216D" w:rsidR="00F562F4" w:rsidRPr="0068442A" w:rsidRDefault="001033C7" w:rsidP="00BF1E10">
      <w:pPr>
        <w:autoSpaceDE w:val="0"/>
        <w:autoSpaceDN w:val="0"/>
        <w:adjustRightInd w:val="0"/>
        <w:spacing w:after="0" w:line="360" w:lineRule="auto"/>
        <w:ind w:firstLine="720"/>
        <w:jc w:val="both"/>
        <w:rPr>
          <w:rFonts w:ascii="Times New Roman" w:hAnsi="Times New Roman" w:cs="Times New Roman"/>
        </w:rPr>
      </w:pPr>
      <w:r>
        <w:rPr>
          <w:rFonts w:ascii="Times New Roman" w:eastAsia="Times New Roman" w:hAnsi="Times New Roman" w:cs="Times New Roman"/>
        </w:rPr>
        <w:t xml:space="preserve">The </w:t>
      </w:r>
      <w:r w:rsidRPr="0068442A">
        <w:rPr>
          <w:rFonts w:ascii="Times New Roman" w:hAnsi="Times New Roman" w:cs="Times New Roman"/>
        </w:rPr>
        <w:t>capabilities approach</w:t>
      </w:r>
      <w:r w:rsidRPr="0068442A">
        <w:rPr>
          <w:rFonts w:ascii="Times New Roman" w:eastAsia="Times New Roman" w:hAnsi="Times New Roman" w:cs="Times New Roman"/>
        </w:rPr>
        <w:t xml:space="preserve"> </w:t>
      </w:r>
      <w:r w:rsidR="00F562F4" w:rsidRPr="0068442A">
        <w:rPr>
          <w:rFonts w:ascii="Times New Roman" w:eastAsia="Times New Roman" w:hAnsi="Times New Roman" w:cs="Times New Roman"/>
        </w:rPr>
        <w:t xml:space="preserve">has </w:t>
      </w:r>
      <w:r w:rsidRPr="0068442A">
        <w:rPr>
          <w:rFonts w:ascii="Times New Roman" w:eastAsia="Times New Roman" w:hAnsi="Times New Roman" w:cs="Times New Roman"/>
        </w:rPr>
        <w:t xml:space="preserve">generally </w:t>
      </w:r>
      <w:r w:rsidR="00F562F4" w:rsidRPr="0068442A">
        <w:rPr>
          <w:rFonts w:ascii="Times New Roman" w:eastAsia="Times New Roman" w:hAnsi="Times New Roman" w:cs="Times New Roman"/>
        </w:rPr>
        <w:t>been used to frame issues of human values</w:t>
      </w:r>
      <w:r w:rsidR="00434A85" w:rsidRPr="0068442A">
        <w:rPr>
          <w:rFonts w:ascii="Times New Roman" w:eastAsia="Times New Roman" w:hAnsi="Times New Roman" w:cs="Times New Roman"/>
        </w:rPr>
        <w:t>,</w:t>
      </w:r>
      <w:r w:rsidR="00F562F4" w:rsidRPr="0068442A">
        <w:rPr>
          <w:rFonts w:ascii="Times New Roman" w:eastAsia="Times New Roman" w:hAnsi="Times New Roman" w:cs="Times New Roman"/>
        </w:rPr>
        <w:t xml:space="preserve"> but it has also been widely employed in thinkin</w:t>
      </w:r>
      <w:r w:rsidR="00CD3634" w:rsidRPr="0068442A">
        <w:rPr>
          <w:rFonts w:ascii="Times New Roman" w:eastAsia="Times New Roman" w:hAnsi="Times New Roman" w:cs="Times New Roman"/>
        </w:rPr>
        <w:t xml:space="preserve">g on education and development, and </w:t>
      </w:r>
      <w:r w:rsidR="00C55BFB">
        <w:rPr>
          <w:rFonts w:ascii="Times New Roman" w:eastAsia="Times New Roman" w:hAnsi="Times New Roman" w:cs="Times New Roman"/>
        </w:rPr>
        <w:t>various</w:t>
      </w:r>
      <w:r w:rsidR="00C55BFB" w:rsidRPr="0068442A">
        <w:rPr>
          <w:rFonts w:ascii="Times New Roman" w:eastAsia="Times New Roman" w:hAnsi="Times New Roman" w:cs="Times New Roman"/>
        </w:rPr>
        <w:t xml:space="preserve"> </w:t>
      </w:r>
      <w:r w:rsidR="00F562F4" w:rsidRPr="0068442A">
        <w:rPr>
          <w:rFonts w:ascii="Times New Roman" w:eastAsia="Times New Roman" w:hAnsi="Times New Roman" w:cs="Times New Roman"/>
        </w:rPr>
        <w:t>dimensions of education</w:t>
      </w:r>
      <w:r w:rsidR="00434A85" w:rsidRPr="0068442A">
        <w:rPr>
          <w:rFonts w:ascii="Times New Roman" w:eastAsia="Times New Roman" w:hAnsi="Times New Roman" w:cs="Times New Roman"/>
        </w:rPr>
        <w:t>,</w:t>
      </w:r>
      <w:r w:rsidR="00F562F4" w:rsidRPr="0068442A">
        <w:rPr>
          <w:rFonts w:ascii="Times New Roman" w:eastAsia="Times New Roman" w:hAnsi="Times New Roman" w:cs="Times New Roman"/>
        </w:rPr>
        <w:t xml:space="preserve"> such as inputs </w:t>
      </w:r>
      <w:r w:rsidR="005145B5" w:rsidRPr="0068442A">
        <w:rPr>
          <w:rFonts w:ascii="Times New Roman" w:eastAsia="Times New Roman" w:hAnsi="Times New Roman" w:cs="Times New Roman"/>
        </w:rPr>
        <w:t>(</w:t>
      </w:r>
      <w:r w:rsidR="00F562F4" w:rsidRPr="0068442A">
        <w:rPr>
          <w:rFonts w:ascii="Times New Roman" w:eastAsia="Times New Roman" w:hAnsi="Times New Roman" w:cs="Times New Roman"/>
        </w:rPr>
        <w:t>teachers, learning materials, quality of education</w:t>
      </w:r>
      <w:r w:rsidR="005145B5" w:rsidRPr="0068442A">
        <w:rPr>
          <w:rFonts w:ascii="Times New Roman" w:eastAsia="Times New Roman" w:hAnsi="Times New Roman" w:cs="Times New Roman"/>
        </w:rPr>
        <w:t>)</w:t>
      </w:r>
      <w:r w:rsidR="00F562F4" w:rsidRPr="0068442A">
        <w:rPr>
          <w:rFonts w:ascii="Times New Roman" w:eastAsia="Times New Roman" w:hAnsi="Times New Roman" w:cs="Times New Roman"/>
        </w:rPr>
        <w:t xml:space="preserve">, </w:t>
      </w:r>
      <w:r w:rsidR="00D6154B" w:rsidRPr="0068442A">
        <w:rPr>
          <w:rFonts w:ascii="Times New Roman" w:eastAsia="Times New Roman" w:hAnsi="Times New Roman" w:cs="Times New Roman"/>
        </w:rPr>
        <w:t xml:space="preserve">the </w:t>
      </w:r>
      <w:r w:rsidR="00F562F4" w:rsidRPr="0068442A">
        <w:rPr>
          <w:rFonts w:ascii="Times New Roman" w:eastAsia="Times New Roman" w:hAnsi="Times New Roman" w:cs="Times New Roman"/>
        </w:rPr>
        <w:t>conditions of being educated to support development</w:t>
      </w:r>
      <w:r w:rsidR="005145B5" w:rsidRPr="0068442A">
        <w:rPr>
          <w:rFonts w:ascii="Times New Roman" w:eastAsia="Times New Roman" w:hAnsi="Times New Roman" w:cs="Times New Roman"/>
        </w:rPr>
        <w:t>,</w:t>
      </w:r>
      <w:r w:rsidR="00F562F4" w:rsidRPr="0068442A">
        <w:rPr>
          <w:rFonts w:ascii="Times New Roman" w:eastAsia="Times New Roman" w:hAnsi="Times New Roman" w:cs="Times New Roman"/>
        </w:rPr>
        <w:t xml:space="preserve"> and the agency of individuals. </w:t>
      </w:r>
      <w:r w:rsidR="00E45442" w:rsidRPr="0068442A">
        <w:rPr>
          <w:rFonts w:ascii="Times New Roman" w:hAnsi="Times New Roman" w:cs="Times New Roman"/>
        </w:rPr>
        <w:t xml:space="preserve">Several </w:t>
      </w:r>
      <w:r w:rsidR="00D933E2">
        <w:rPr>
          <w:rFonts w:ascii="Times New Roman" w:hAnsi="Times New Roman" w:cs="Times New Roman"/>
        </w:rPr>
        <w:t>studies</w:t>
      </w:r>
      <w:r w:rsidR="00D933E2" w:rsidRPr="0068442A">
        <w:rPr>
          <w:rFonts w:ascii="Times New Roman" w:hAnsi="Times New Roman" w:cs="Times New Roman"/>
        </w:rPr>
        <w:t xml:space="preserve"> </w:t>
      </w:r>
      <w:r w:rsidR="005145B5" w:rsidRPr="0068442A">
        <w:rPr>
          <w:rFonts w:ascii="Times New Roman" w:hAnsi="Times New Roman" w:cs="Times New Roman"/>
        </w:rPr>
        <w:t xml:space="preserve">have </w:t>
      </w:r>
      <w:r w:rsidR="00F562F4" w:rsidRPr="0068442A">
        <w:rPr>
          <w:rFonts w:ascii="Times New Roman" w:hAnsi="Times New Roman" w:cs="Times New Roman"/>
        </w:rPr>
        <w:t xml:space="preserve">used the capabilities approach </w:t>
      </w:r>
      <w:r w:rsidR="00E45442" w:rsidRPr="0068442A">
        <w:rPr>
          <w:rFonts w:ascii="Times New Roman" w:hAnsi="Times New Roman" w:cs="Times New Roman"/>
        </w:rPr>
        <w:t>to assess</w:t>
      </w:r>
      <w:r w:rsidR="00F562F4" w:rsidRPr="0068442A">
        <w:rPr>
          <w:rFonts w:ascii="Times New Roman" w:hAnsi="Times New Roman" w:cs="Times New Roman"/>
        </w:rPr>
        <w:t xml:space="preserve"> the valued capabilities of girls</w:t>
      </w:r>
      <w:r w:rsidR="00EF7998" w:rsidRPr="0068442A">
        <w:rPr>
          <w:rFonts w:ascii="Times New Roman" w:hAnsi="Times New Roman" w:cs="Times New Roman"/>
        </w:rPr>
        <w:t xml:space="preserve"> and women</w:t>
      </w:r>
      <w:r w:rsidR="00F562F4" w:rsidRPr="0068442A">
        <w:rPr>
          <w:rFonts w:ascii="Times New Roman" w:hAnsi="Times New Roman" w:cs="Times New Roman"/>
        </w:rPr>
        <w:t xml:space="preserve"> in education (</w:t>
      </w:r>
      <w:r w:rsidR="003F5D0F" w:rsidRPr="0068442A">
        <w:rPr>
          <w:rFonts w:ascii="Times New Roman" w:hAnsi="Times New Roman" w:cs="Times New Roman"/>
        </w:rPr>
        <w:t>Walker</w:t>
      </w:r>
      <w:r w:rsidR="00C32D4C" w:rsidRPr="0068442A">
        <w:rPr>
          <w:rFonts w:ascii="Times New Roman" w:hAnsi="Times New Roman" w:cs="Times New Roman"/>
        </w:rPr>
        <w:t xml:space="preserve">, </w:t>
      </w:r>
      <w:r w:rsidR="005145B5" w:rsidRPr="0068442A">
        <w:rPr>
          <w:rFonts w:ascii="Times New Roman" w:hAnsi="Times New Roman" w:cs="Times New Roman"/>
        </w:rPr>
        <w:t xml:space="preserve">2007; </w:t>
      </w:r>
      <w:r w:rsidR="00F562F4" w:rsidRPr="0068442A">
        <w:rPr>
          <w:rFonts w:ascii="Times New Roman" w:hAnsi="Times New Roman" w:cs="Times New Roman"/>
        </w:rPr>
        <w:t>DeJaeghere</w:t>
      </w:r>
      <w:r w:rsidR="005145B5" w:rsidRPr="0068442A">
        <w:rPr>
          <w:rFonts w:ascii="Times New Roman" w:hAnsi="Times New Roman" w:cs="Times New Roman"/>
        </w:rPr>
        <w:t xml:space="preserve"> </w:t>
      </w:r>
      <w:r w:rsidR="006522C7" w:rsidRPr="0068442A">
        <w:rPr>
          <w:rFonts w:ascii="Times New Roman" w:hAnsi="Times New Roman" w:cs="Times New Roman"/>
        </w:rPr>
        <w:t>&amp;</w:t>
      </w:r>
      <w:r w:rsidR="00C32D4C" w:rsidRPr="0068442A">
        <w:rPr>
          <w:rFonts w:ascii="Times New Roman" w:hAnsi="Times New Roman" w:cs="Times New Roman"/>
        </w:rPr>
        <w:t xml:space="preserve"> Lee, </w:t>
      </w:r>
      <w:r w:rsidR="003F5D0F" w:rsidRPr="0068442A">
        <w:rPr>
          <w:rFonts w:ascii="Times New Roman" w:hAnsi="Times New Roman" w:cs="Times New Roman"/>
        </w:rPr>
        <w:t>2011;</w:t>
      </w:r>
      <w:r w:rsidR="0078420F" w:rsidRPr="0068442A">
        <w:rPr>
          <w:rFonts w:ascii="Times New Roman" w:hAnsi="Times New Roman" w:cs="Times New Roman"/>
          <w:color w:val="333333"/>
        </w:rPr>
        <w:t xml:space="preserve"> </w:t>
      </w:r>
      <w:r w:rsidR="00155852" w:rsidRPr="0068442A">
        <w:rPr>
          <w:rFonts w:ascii="Times New Roman" w:hAnsi="Times New Roman" w:cs="Times New Roman"/>
          <w:color w:val="333333"/>
        </w:rPr>
        <w:t xml:space="preserve">Cin </w:t>
      </w:r>
      <w:r w:rsidR="006522C7" w:rsidRPr="0068442A">
        <w:rPr>
          <w:rFonts w:ascii="Times New Roman" w:hAnsi="Times New Roman" w:cs="Times New Roman"/>
          <w:color w:val="333333"/>
        </w:rPr>
        <w:t>&amp;</w:t>
      </w:r>
      <w:r w:rsidR="00155852" w:rsidRPr="0068442A">
        <w:rPr>
          <w:rFonts w:ascii="Times New Roman" w:hAnsi="Times New Roman" w:cs="Times New Roman"/>
          <w:color w:val="333333"/>
        </w:rPr>
        <w:t xml:space="preserve"> Walker, </w:t>
      </w:r>
      <w:r w:rsidR="00EF7998" w:rsidRPr="0068442A">
        <w:rPr>
          <w:rFonts w:ascii="Times New Roman" w:hAnsi="Times New Roman" w:cs="Times New Roman"/>
          <w:color w:val="333333"/>
        </w:rPr>
        <w:t xml:space="preserve">2013; </w:t>
      </w:r>
      <w:r w:rsidR="00155852" w:rsidRPr="0068442A">
        <w:rPr>
          <w:rFonts w:ascii="Times New Roman" w:hAnsi="Times New Roman" w:cs="Times New Roman"/>
          <w:color w:val="333333"/>
        </w:rPr>
        <w:t>2016</w:t>
      </w:r>
      <w:r w:rsidR="00A964B8" w:rsidRPr="0068442A">
        <w:rPr>
          <w:rFonts w:ascii="Times New Roman" w:hAnsi="Times New Roman" w:cs="Times New Roman"/>
        </w:rPr>
        <w:t xml:space="preserve">), as well </w:t>
      </w:r>
      <w:r w:rsidR="00CD3634" w:rsidRPr="0068442A">
        <w:rPr>
          <w:rFonts w:ascii="Times New Roman" w:hAnsi="Times New Roman" w:cs="Times New Roman"/>
        </w:rPr>
        <w:t>as the</w:t>
      </w:r>
      <w:r w:rsidR="00434A85" w:rsidRPr="0068442A">
        <w:rPr>
          <w:rFonts w:ascii="Times New Roman" w:hAnsi="Times New Roman" w:cs="Times New Roman"/>
        </w:rPr>
        <w:t xml:space="preserve"> </w:t>
      </w:r>
      <w:r w:rsidR="00F562F4" w:rsidRPr="0068442A">
        <w:rPr>
          <w:rFonts w:ascii="Times New Roman" w:hAnsi="Times New Roman" w:cs="Times New Roman"/>
        </w:rPr>
        <w:t>educational well-being and freedoms of communities and people (DeJa</w:t>
      </w:r>
      <w:r w:rsidR="00E02672" w:rsidRPr="0068442A">
        <w:rPr>
          <w:rFonts w:ascii="Times New Roman" w:hAnsi="Times New Roman" w:cs="Times New Roman"/>
        </w:rPr>
        <w:t>e</w:t>
      </w:r>
      <w:r w:rsidR="00F562F4" w:rsidRPr="0068442A">
        <w:rPr>
          <w:rFonts w:ascii="Times New Roman" w:hAnsi="Times New Roman" w:cs="Times New Roman"/>
        </w:rPr>
        <w:t xml:space="preserve">ghere </w:t>
      </w:r>
      <w:r w:rsidR="006522C7" w:rsidRPr="0068442A">
        <w:rPr>
          <w:rFonts w:ascii="Times New Roman" w:hAnsi="Times New Roman" w:cs="Times New Roman"/>
        </w:rPr>
        <w:t>&amp;</w:t>
      </w:r>
      <w:r w:rsidR="00C32D4C" w:rsidRPr="0068442A">
        <w:rPr>
          <w:rFonts w:ascii="Times New Roman" w:hAnsi="Times New Roman" w:cs="Times New Roman"/>
        </w:rPr>
        <w:t xml:space="preserve"> Lee, </w:t>
      </w:r>
      <w:r w:rsidR="009D1D18" w:rsidRPr="0068442A">
        <w:rPr>
          <w:rFonts w:ascii="Times New Roman" w:hAnsi="Times New Roman" w:cs="Times New Roman"/>
        </w:rPr>
        <w:t>2011; Okkolin</w:t>
      </w:r>
      <w:r w:rsidR="00C32D4C" w:rsidRPr="0068442A">
        <w:rPr>
          <w:rFonts w:ascii="Times New Roman" w:hAnsi="Times New Roman" w:cs="Times New Roman"/>
        </w:rPr>
        <w:t xml:space="preserve">, </w:t>
      </w:r>
      <w:r w:rsidR="00F562F4" w:rsidRPr="0068442A">
        <w:rPr>
          <w:rFonts w:ascii="Times New Roman" w:hAnsi="Times New Roman" w:cs="Times New Roman"/>
        </w:rPr>
        <w:t>2017)</w:t>
      </w:r>
      <w:r w:rsidR="00A964B8" w:rsidRPr="0068442A">
        <w:rPr>
          <w:rFonts w:ascii="Times New Roman" w:hAnsi="Times New Roman" w:cs="Times New Roman"/>
        </w:rPr>
        <w:t xml:space="preserve"> by identifying </w:t>
      </w:r>
      <w:r w:rsidR="00E45442" w:rsidRPr="0068442A">
        <w:rPr>
          <w:rFonts w:ascii="Times New Roman" w:hAnsi="Times New Roman" w:cs="Times New Roman"/>
        </w:rPr>
        <w:t>the</w:t>
      </w:r>
      <w:r w:rsidR="00F562F4" w:rsidRPr="0068442A">
        <w:rPr>
          <w:rFonts w:ascii="Times New Roman" w:hAnsi="Times New Roman" w:cs="Times New Roman"/>
        </w:rPr>
        <w:t xml:space="preserve"> capabilities that education should </w:t>
      </w:r>
      <w:r w:rsidR="00E45442" w:rsidRPr="0068442A">
        <w:rPr>
          <w:rFonts w:ascii="Times New Roman" w:hAnsi="Times New Roman" w:cs="Times New Roman"/>
        </w:rPr>
        <w:t>promote</w:t>
      </w:r>
      <w:r w:rsidR="008973B1" w:rsidRPr="0068442A">
        <w:rPr>
          <w:rFonts w:ascii="Times New Roman" w:hAnsi="Times New Roman" w:cs="Times New Roman"/>
        </w:rPr>
        <w:t xml:space="preserve"> for gender</w:t>
      </w:r>
      <w:r w:rsidR="00F562F4" w:rsidRPr="0068442A">
        <w:rPr>
          <w:rFonts w:ascii="Times New Roman" w:hAnsi="Times New Roman" w:cs="Times New Roman"/>
        </w:rPr>
        <w:t xml:space="preserve"> equality. In particular, </w:t>
      </w:r>
      <w:r w:rsidR="001C45AF" w:rsidRPr="0068442A">
        <w:rPr>
          <w:rFonts w:ascii="Times New Roman" w:hAnsi="Times New Roman" w:cs="Times New Roman"/>
        </w:rPr>
        <w:t>some</w:t>
      </w:r>
      <w:r w:rsidR="00F562F4" w:rsidRPr="0068442A">
        <w:rPr>
          <w:rFonts w:ascii="Times New Roman" w:hAnsi="Times New Roman" w:cs="Times New Roman"/>
        </w:rPr>
        <w:t xml:space="preserve"> literature draws on Sen’s concept of public debate in relation to </w:t>
      </w:r>
      <w:r w:rsidR="001C45AF" w:rsidRPr="0068442A">
        <w:rPr>
          <w:rFonts w:ascii="Times New Roman" w:hAnsi="Times New Roman" w:cs="Times New Roman"/>
        </w:rPr>
        <w:t xml:space="preserve">the </w:t>
      </w:r>
      <w:r w:rsidR="00F562F4" w:rsidRPr="0068442A">
        <w:rPr>
          <w:rFonts w:ascii="Times New Roman" w:hAnsi="Times New Roman" w:cs="Times New Roman"/>
        </w:rPr>
        <w:t>capabilities approach and elaborates on the role of participation and public debate in determining valued capabilities and fostering gender</w:t>
      </w:r>
      <w:r w:rsidR="00B02934" w:rsidRPr="0068442A">
        <w:rPr>
          <w:rFonts w:ascii="Times New Roman" w:hAnsi="Times New Roman" w:cs="Times New Roman"/>
        </w:rPr>
        <w:t xml:space="preserve"> </w:t>
      </w:r>
      <w:r w:rsidR="00C32D4C" w:rsidRPr="0068442A">
        <w:rPr>
          <w:rFonts w:ascii="Times New Roman" w:hAnsi="Times New Roman" w:cs="Times New Roman"/>
        </w:rPr>
        <w:t xml:space="preserve">justice in education (Alkire, </w:t>
      </w:r>
      <w:r w:rsidR="00F562F4" w:rsidRPr="0068442A">
        <w:rPr>
          <w:rFonts w:ascii="Times New Roman" w:hAnsi="Times New Roman" w:cs="Times New Roman"/>
        </w:rPr>
        <w:t>2002</w:t>
      </w:r>
      <w:r w:rsidR="001A3FC4" w:rsidRPr="0068442A">
        <w:rPr>
          <w:rFonts w:ascii="Times New Roman" w:hAnsi="Times New Roman" w:cs="Times New Roman"/>
        </w:rPr>
        <w:t>;</w:t>
      </w:r>
      <w:r w:rsidR="009D1D18" w:rsidRPr="0068442A">
        <w:rPr>
          <w:rFonts w:ascii="Times New Roman" w:hAnsi="Times New Roman" w:cs="Times New Roman"/>
        </w:rPr>
        <w:t xml:space="preserve"> DeJaeghere</w:t>
      </w:r>
      <w:r w:rsidR="00C32D4C" w:rsidRPr="0068442A">
        <w:rPr>
          <w:rFonts w:ascii="Times New Roman" w:hAnsi="Times New Roman" w:cs="Times New Roman"/>
        </w:rPr>
        <w:t xml:space="preserve">, </w:t>
      </w:r>
      <w:r w:rsidR="00F562F4" w:rsidRPr="0068442A">
        <w:rPr>
          <w:rFonts w:ascii="Times New Roman" w:hAnsi="Times New Roman" w:cs="Times New Roman"/>
        </w:rPr>
        <w:t>2012).</w:t>
      </w:r>
    </w:p>
    <w:p w14:paraId="22672CC0" w14:textId="21DCBE1D" w:rsidR="005631B8" w:rsidRPr="0068442A" w:rsidRDefault="00DA43CA" w:rsidP="00C50DA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W</w:t>
      </w:r>
      <w:r w:rsidR="00D03BF3" w:rsidRPr="0068442A">
        <w:rPr>
          <w:rFonts w:ascii="Times New Roman" w:hAnsi="Times New Roman" w:cs="Times New Roman"/>
        </w:rPr>
        <w:t>ith its focus on human freedoms and well</w:t>
      </w:r>
      <w:r w:rsidR="009D478A" w:rsidRPr="0068442A">
        <w:rPr>
          <w:rFonts w:ascii="Times New Roman" w:hAnsi="Times New Roman" w:cs="Times New Roman"/>
        </w:rPr>
        <w:t>-</w:t>
      </w:r>
      <w:r w:rsidR="00D03BF3" w:rsidRPr="0068442A">
        <w:rPr>
          <w:rFonts w:ascii="Times New Roman" w:hAnsi="Times New Roman" w:cs="Times New Roman"/>
        </w:rPr>
        <w:t xml:space="preserve">being, </w:t>
      </w:r>
      <w:r w:rsidR="009D478A" w:rsidRPr="0068442A">
        <w:rPr>
          <w:rFonts w:ascii="Times New Roman" w:hAnsi="Times New Roman" w:cs="Times New Roman"/>
        </w:rPr>
        <w:t xml:space="preserve">the </w:t>
      </w:r>
      <w:r w:rsidR="008973B1" w:rsidRPr="0068442A">
        <w:rPr>
          <w:rFonts w:ascii="Times New Roman" w:hAnsi="Times New Roman" w:cs="Times New Roman"/>
        </w:rPr>
        <w:t xml:space="preserve">capabilities approach </w:t>
      </w:r>
      <w:r w:rsidR="00D03BF3" w:rsidRPr="0068442A">
        <w:rPr>
          <w:rFonts w:ascii="Times New Roman" w:hAnsi="Times New Roman" w:cs="Times New Roman"/>
        </w:rPr>
        <w:t>views gender equality in education both as a legal and moral obligation</w:t>
      </w:r>
      <w:r w:rsidR="00323467" w:rsidRPr="0068442A">
        <w:rPr>
          <w:rFonts w:ascii="Times New Roman" w:hAnsi="Times New Roman" w:cs="Times New Roman"/>
        </w:rPr>
        <w:t>,</w:t>
      </w:r>
      <w:r w:rsidR="00D03BF3" w:rsidRPr="0068442A">
        <w:rPr>
          <w:rFonts w:ascii="Times New Roman" w:hAnsi="Times New Roman" w:cs="Times New Roman"/>
        </w:rPr>
        <w:t xml:space="preserve"> and </w:t>
      </w:r>
      <w:r w:rsidR="00323467" w:rsidRPr="0068442A">
        <w:rPr>
          <w:rFonts w:ascii="Times New Roman" w:hAnsi="Times New Roman" w:cs="Times New Roman"/>
        </w:rPr>
        <w:t xml:space="preserve">as </w:t>
      </w:r>
      <w:r w:rsidR="00D03BF3" w:rsidRPr="0068442A">
        <w:rPr>
          <w:rFonts w:ascii="Times New Roman" w:hAnsi="Times New Roman" w:cs="Times New Roman"/>
        </w:rPr>
        <w:t>a necessary condition to widen opportunities (Unterhalter</w:t>
      </w:r>
      <w:r w:rsidR="00C32D4C" w:rsidRPr="0068442A">
        <w:rPr>
          <w:rFonts w:ascii="Times New Roman" w:hAnsi="Times New Roman" w:cs="Times New Roman"/>
        </w:rPr>
        <w:t xml:space="preserve">, </w:t>
      </w:r>
      <w:r w:rsidR="00B02934" w:rsidRPr="0068442A">
        <w:rPr>
          <w:rFonts w:ascii="Times New Roman" w:hAnsi="Times New Roman" w:cs="Times New Roman"/>
        </w:rPr>
        <w:t>2007a</w:t>
      </w:r>
      <w:r w:rsidR="00CD3634" w:rsidRPr="0068442A">
        <w:rPr>
          <w:rFonts w:ascii="Times New Roman" w:hAnsi="Times New Roman" w:cs="Times New Roman"/>
        </w:rPr>
        <w:t>), promote</w:t>
      </w:r>
      <w:r w:rsidR="00676C1B" w:rsidRPr="0068442A">
        <w:rPr>
          <w:rFonts w:ascii="Times New Roman" w:hAnsi="Times New Roman" w:cs="Times New Roman"/>
        </w:rPr>
        <w:t xml:space="preserve"> </w:t>
      </w:r>
      <w:r w:rsidR="00CD3634" w:rsidRPr="0068442A">
        <w:rPr>
          <w:rFonts w:ascii="Times New Roman" w:hAnsi="Times New Roman" w:cs="Times New Roman"/>
        </w:rPr>
        <w:t xml:space="preserve">positive freedoms, scrutinise </w:t>
      </w:r>
      <w:r w:rsidR="002E5BFB" w:rsidRPr="0068442A">
        <w:rPr>
          <w:rFonts w:ascii="Times New Roman" w:hAnsi="Times New Roman" w:cs="Times New Roman"/>
        </w:rPr>
        <w:t xml:space="preserve">the </w:t>
      </w:r>
      <w:r w:rsidR="00D03BF3" w:rsidRPr="0068442A">
        <w:rPr>
          <w:rFonts w:ascii="Times New Roman" w:hAnsi="Times New Roman" w:cs="Times New Roman"/>
        </w:rPr>
        <w:t xml:space="preserve">conditions of being educated and </w:t>
      </w:r>
      <w:r w:rsidR="00CD3634" w:rsidRPr="0068442A">
        <w:rPr>
          <w:rFonts w:ascii="Times New Roman" w:hAnsi="Times New Roman" w:cs="Times New Roman"/>
        </w:rPr>
        <w:t xml:space="preserve">understand </w:t>
      </w:r>
      <w:r w:rsidR="00D03BF3" w:rsidRPr="0068442A">
        <w:rPr>
          <w:rFonts w:ascii="Times New Roman" w:hAnsi="Times New Roman" w:cs="Times New Roman"/>
        </w:rPr>
        <w:t xml:space="preserve">how </w:t>
      </w:r>
      <w:r w:rsidR="00B83568" w:rsidRPr="0068442A">
        <w:rPr>
          <w:rFonts w:ascii="Times New Roman" w:hAnsi="Times New Roman" w:cs="Times New Roman"/>
        </w:rPr>
        <w:t xml:space="preserve">these </w:t>
      </w:r>
      <w:r w:rsidR="00CE3A61" w:rsidRPr="0068442A">
        <w:rPr>
          <w:rFonts w:ascii="Times New Roman" w:hAnsi="Times New Roman" w:cs="Times New Roman"/>
        </w:rPr>
        <w:t>aspects</w:t>
      </w:r>
      <w:r w:rsidR="00EE5115" w:rsidRPr="0068442A">
        <w:rPr>
          <w:rFonts w:ascii="Times New Roman" w:hAnsi="Times New Roman" w:cs="Times New Roman"/>
        </w:rPr>
        <w:t xml:space="preserve"> </w:t>
      </w:r>
      <w:r w:rsidR="008973B1" w:rsidRPr="0068442A">
        <w:rPr>
          <w:rFonts w:ascii="Times New Roman" w:hAnsi="Times New Roman" w:cs="Times New Roman"/>
        </w:rPr>
        <w:t>infl</w:t>
      </w:r>
      <w:r w:rsidR="00D03BF3" w:rsidRPr="0068442A">
        <w:rPr>
          <w:rFonts w:ascii="Times New Roman" w:hAnsi="Times New Roman" w:cs="Times New Roman"/>
        </w:rPr>
        <w:t xml:space="preserve">uence the functionings </w:t>
      </w:r>
      <w:r w:rsidR="009D478A" w:rsidRPr="0068442A">
        <w:rPr>
          <w:rFonts w:ascii="Times New Roman" w:hAnsi="Times New Roman" w:cs="Times New Roman"/>
        </w:rPr>
        <w:t>valued by</w:t>
      </w:r>
      <w:r w:rsidR="00C32D4C" w:rsidRPr="0068442A">
        <w:rPr>
          <w:rFonts w:ascii="Times New Roman" w:hAnsi="Times New Roman" w:cs="Times New Roman"/>
        </w:rPr>
        <w:t xml:space="preserve"> each person (Unterhalter, </w:t>
      </w:r>
      <w:r w:rsidR="00D03BF3" w:rsidRPr="0068442A">
        <w:rPr>
          <w:rFonts w:ascii="Times New Roman" w:hAnsi="Times New Roman" w:cs="Times New Roman"/>
        </w:rPr>
        <w:t>2007a</w:t>
      </w:r>
      <w:r w:rsidR="00984D37" w:rsidRPr="0068442A">
        <w:rPr>
          <w:rFonts w:ascii="Times New Roman" w:hAnsi="Times New Roman" w:cs="Times New Roman"/>
        </w:rPr>
        <w:t>;</w:t>
      </w:r>
      <w:r w:rsidR="00C32D4C" w:rsidRPr="0068442A">
        <w:rPr>
          <w:rFonts w:ascii="Times New Roman" w:hAnsi="Times New Roman" w:cs="Times New Roman"/>
        </w:rPr>
        <w:t xml:space="preserve"> Tikly </w:t>
      </w:r>
      <w:r w:rsidR="006522C7" w:rsidRPr="0068442A">
        <w:rPr>
          <w:rFonts w:ascii="Times New Roman" w:hAnsi="Times New Roman" w:cs="Times New Roman"/>
        </w:rPr>
        <w:t>&amp;</w:t>
      </w:r>
      <w:r w:rsidR="00C32D4C" w:rsidRPr="0068442A">
        <w:rPr>
          <w:rFonts w:ascii="Times New Roman" w:hAnsi="Times New Roman" w:cs="Times New Roman"/>
        </w:rPr>
        <w:t xml:space="preserve"> Barrett, </w:t>
      </w:r>
      <w:r w:rsidR="00D03BF3" w:rsidRPr="0068442A">
        <w:rPr>
          <w:rFonts w:ascii="Times New Roman" w:hAnsi="Times New Roman" w:cs="Times New Roman"/>
        </w:rPr>
        <w:t>2011). It addresses the multiple perspectives of</w:t>
      </w:r>
      <w:r w:rsidR="008973B1" w:rsidRPr="0068442A">
        <w:rPr>
          <w:rFonts w:ascii="Times New Roman" w:hAnsi="Times New Roman" w:cs="Times New Roman"/>
        </w:rPr>
        <w:t xml:space="preserve"> gender equality</w:t>
      </w:r>
      <w:r w:rsidR="00D03BF3" w:rsidRPr="0068442A">
        <w:rPr>
          <w:rFonts w:ascii="Times New Roman" w:hAnsi="Times New Roman" w:cs="Times New Roman"/>
        </w:rPr>
        <w:t xml:space="preserve"> in education</w:t>
      </w:r>
      <w:r w:rsidR="00BE5ABA" w:rsidRPr="0068442A">
        <w:rPr>
          <w:rFonts w:ascii="Times New Roman" w:hAnsi="Times New Roman" w:cs="Times New Roman"/>
        </w:rPr>
        <w:t>,</w:t>
      </w:r>
      <w:r w:rsidR="00D03BF3" w:rsidRPr="0068442A">
        <w:rPr>
          <w:rFonts w:ascii="Times New Roman" w:hAnsi="Times New Roman" w:cs="Times New Roman"/>
        </w:rPr>
        <w:t xml:space="preserve"> such as gender discrimination related to learning, the </w:t>
      </w:r>
      <w:r w:rsidR="00F123C5">
        <w:rPr>
          <w:rFonts w:ascii="Times New Roman" w:hAnsi="Times New Roman" w:cs="Times New Roman"/>
        </w:rPr>
        <w:t>propagation</w:t>
      </w:r>
      <w:r w:rsidR="00F123C5" w:rsidRPr="0068442A">
        <w:rPr>
          <w:rFonts w:ascii="Times New Roman" w:hAnsi="Times New Roman" w:cs="Times New Roman"/>
        </w:rPr>
        <w:t xml:space="preserve"> </w:t>
      </w:r>
      <w:r w:rsidR="00D03BF3" w:rsidRPr="0068442A">
        <w:rPr>
          <w:rFonts w:ascii="Times New Roman" w:hAnsi="Times New Roman" w:cs="Times New Roman"/>
        </w:rPr>
        <w:t xml:space="preserve">of </w:t>
      </w:r>
      <w:r w:rsidR="00F123C5">
        <w:rPr>
          <w:rFonts w:ascii="Times New Roman" w:hAnsi="Times New Roman" w:cs="Times New Roman"/>
        </w:rPr>
        <w:t xml:space="preserve">male and female </w:t>
      </w:r>
      <w:r w:rsidR="00D03BF3" w:rsidRPr="0068442A">
        <w:rPr>
          <w:rFonts w:ascii="Times New Roman" w:hAnsi="Times New Roman" w:cs="Times New Roman"/>
        </w:rPr>
        <w:t xml:space="preserve">stereotypes </w:t>
      </w:r>
      <w:r w:rsidR="00F123C5">
        <w:rPr>
          <w:rFonts w:ascii="Times New Roman" w:hAnsi="Times New Roman" w:cs="Times New Roman"/>
        </w:rPr>
        <w:t>in</w:t>
      </w:r>
      <w:r w:rsidR="00E45442" w:rsidRPr="0068442A">
        <w:rPr>
          <w:rFonts w:ascii="Times New Roman" w:hAnsi="Times New Roman" w:cs="Times New Roman"/>
        </w:rPr>
        <w:t xml:space="preserve"> textbooks</w:t>
      </w:r>
      <w:r w:rsidR="00BE5ABA" w:rsidRPr="0068442A">
        <w:rPr>
          <w:rFonts w:ascii="Times New Roman" w:hAnsi="Times New Roman" w:cs="Times New Roman"/>
        </w:rPr>
        <w:t>,</w:t>
      </w:r>
      <w:r w:rsidR="00D03BF3" w:rsidRPr="0068442A">
        <w:rPr>
          <w:rFonts w:ascii="Times New Roman" w:hAnsi="Times New Roman" w:cs="Times New Roman"/>
        </w:rPr>
        <w:t xml:space="preserve"> and gender inequalities in the household, the workplace</w:t>
      </w:r>
      <w:r w:rsidR="00EA05D2" w:rsidRPr="0068442A">
        <w:rPr>
          <w:rFonts w:ascii="Times New Roman" w:hAnsi="Times New Roman" w:cs="Times New Roman"/>
        </w:rPr>
        <w:t>,</w:t>
      </w:r>
      <w:r w:rsidR="00D03BF3" w:rsidRPr="0068442A">
        <w:rPr>
          <w:rFonts w:ascii="Times New Roman" w:hAnsi="Times New Roman" w:cs="Times New Roman"/>
        </w:rPr>
        <w:t xml:space="preserve"> and the state</w:t>
      </w:r>
      <w:r w:rsidR="00E45442" w:rsidRPr="0068442A">
        <w:rPr>
          <w:rFonts w:ascii="Times New Roman" w:hAnsi="Times New Roman" w:cs="Times New Roman"/>
        </w:rPr>
        <w:t xml:space="preserve"> (Aikman et al., 2011)</w:t>
      </w:r>
      <w:r w:rsidR="00F123C5">
        <w:rPr>
          <w:rFonts w:ascii="Times New Roman" w:hAnsi="Times New Roman" w:cs="Times New Roman"/>
        </w:rPr>
        <w:t xml:space="preserve">. Additionally, it </w:t>
      </w:r>
      <w:r w:rsidR="00D03BF3" w:rsidRPr="0068442A">
        <w:rPr>
          <w:rFonts w:ascii="Times New Roman" w:hAnsi="Times New Roman" w:cs="Times New Roman"/>
        </w:rPr>
        <w:t>reconsider</w:t>
      </w:r>
      <w:r w:rsidR="002005D3" w:rsidRPr="0068442A">
        <w:rPr>
          <w:rFonts w:ascii="Times New Roman" w:hAnsi="Times New Roman" w:cs="Times New Roman"/>
        </w:rPr>
        <w:t>s</w:t>
      </w:r>
      <w:r w:rsidR="00D03BF3" w:rsidRPr="0068442A">
        <w:rPr>
          <w:rFonts w:ascii="Times New Roman" w:hAnsi="Times New Roman" w:cs="Times New Roman"/>
        </w:rPr>
        <w:t xml:space="preserve"> the questions of justice in relation to gender equality, between school and </w:t>
      </w:r>
      <w:r w:rsidR="00EA05D2" w:rsidRPr="0068442A">
        <w:rPr>
          <w:rFonts w:ascii="Times New Roman" w:hAnsi="Times New Roman" w:cs="Times New Roman"/>
        </w:rPr>
        <w:t xml:space="preserve">the </w:t>
      </w:r>
      <w:r w:rsidR="00D03BF3" w:rsidRPr="0068442A">
        <w:rPr>
          <w:rFonts w:ascii="Times New Roman" w:hAnsi="Times New Roman" w:cs="Times New Roman"/>
        </w:rPr>
        <w:t>labour market, non-market settings, institutions</w:t>
      </w:r>
      <w:r w:rsidR="00EA05D2" w:rsidRPr="0068442A">
        <w:rPr>
          <w:rFonts w:ascii="Times New Roman" w:hAnsi="Times New Roman" w:cs="Times New Roman"/>
        </w:rPr>
        <w:t>,</w:t>
      </w:r>
      <w:r w:rsidR="00D03BF3" w:rsidRPr="0068442A">
        <w:rPr>
          <w:rFonts w:ascii="Times New Roman" w:hAnsi="Times New Roman" w:cs="Times New Roman"/>
        </w:rPr>
        <w:t xml:space="preserve"> and pedagogi</w:t>
      </w:r>
      <w:r w:rsidR="00C32D4C" w:rsidRPr="0068442A">
        <w:rPr>
          <w:rFonts w:ascii="Times New Roman" w:hAnsi="Times New Roman" w:cs="Times New Roman"/>
        </w:rPr>
        <w:t xml:space="preserve">es (Walker </w:t>
      </w:r>
      <w:r w:rsidR="006522C7" w:rsidRPr="0068442A">
        <w:rPr>
          <w:rFonts w:ascii="Times New Roman" w:hAnsi="Times New Roman" w:cs="Times New Roman"/>
        </w:rPr>
        <w:t>&amp;</w:t>
      </w:r>
      <w:r w:rsidR="00C32D4C" w:rsidRPr="0068442A">
        <w:rPr>
          <w:rFonts w:ascii="Times New Roman" w:hAnsi="Times New Roman" w:cs="Times New Roman"/>
        </w:rPr>
        <w:t xml:space="preserve"> Unterhalter, </w:t>
      </w:r>
      <w:r w:rsidR="00B02934" w:rsidRPr="0068442A">
        <w:rPr>
          <w:rFonts w:ascii="Times New Roman" w:hAnsi="Times New Roman" w:cs="Times New Roman"/>
        </w:rPr>
        <w:t>2007</w:t>
      </w:r>
      <w:r w:rsidR="00D03BF3" w:rsidRPr="0068442A">
        <w:rPr>
          <w:rFonts w:ascii="Times New Roman" w:hAnsi="Times New Roman" w:cs="Times New Roman"/>
        </w:rPr>
        <w:t xml:space="preserve">). </w:t>
      </w:r>
      <w:r w:rsidR="00CD3634" w:rsidRPr="0068442A">
        <w:rPr>
          <w:rFonts w:ascii="Times New Roman" w:hAnsi="Times New Roman" w:cs="Times New Roman"/>
        </w:rPr>
        <w:t>Therefore, we can measure g</w:t>
      </w:r>
      <w:r w:rsidR="00D03BF3" w:rsidRPr="0068442A">
        <w:rPr>
          <w:rFonts w:ascii="Times New Roman" w:hAnsi="Times New Roman" w:cs="Times New Roman"/>
        </w:rPr>
        <w:t xml:space="preserve">ender equality in education, </w:t>
      </w:r>
      <w:r w:rsidR="004D0EAB">
        <w:rPr>
          <w:rFonts w:ascii="Times New Roman" w:hAnsi="Times New Roman" w:cs="Times New Roman"/>
        </w:rPr>
        <w:t>under</w:t>
      </w:r>
      <w:r w:rsidR="004D0EAB" w:rsidRPr="0068442A">
        <w:rPr>
          <w:rFonts w:ascii="Times New Roman" w:hAnsi="Times New Roman" w:cs="Times New Roman"/>
        </w:rPr>
        <w:t xml:space="preserve"> </w:t>
      </w:r>
      <w:r w:rsidR="00D03BF3" w:rsidRPr="0068442A">
        <w:rPr>
          <w:rFonts w:ascii="Times New Roman" w:hAnsi="Times New Roman" w:cs="Times New Roman"/>
        </w:rPr>
        <w:t xml:space="preserve">this approach, </w:t>
      </w:r>
      <w:r w:rsidR="00EA05D2" w:rsidRPr="0068442A">
        <w:rPr>
          <w:rFonts w:ascii="Times New Roman" w:hAnsi="Times New Roman" w:cs="Times New Roman"/>
        </w:rPr>
        <w:t>by</w:t>
      </w:r>
      <w:r w:rsidR="00D03BF3" w:rsidRPr="0068442A">
        <w:rPr>
          <w:rFonts w:ascii="Times New Roman" w:hAnsi="Times New Roman" w:cs="Times New Roman"/>
        </w:rPr>
        <w:t xml:space="preserve"> the nature of </w:t>
      </w:r>
      <w:r w:rsidR="004D0EAB">
        <w:rPr>
          <w:rFonts w:ascii="Times New Roman" w:hAnsi="Times New Roman" w:cs="Times New Roman"/>
        </w:rPr>
        <w:t xml:space="preserve">the </w:t>
      </w:r>
      <w:r w:rsidR="00D03BF3" w:rsidRPr="0068442A">
        <w:rPr>
          <w:rFonts w:ascii="Times New Roman" w:hAnsi="Times New Roman" w:cs="Times New Roman"/>
        </w:rPr>
        <w:t xml:space="preserve">education valued by individuals </w:t>
      </w:r>
      <w:r w:rsidR="009F7D9E" w:rsidRPr="0068442A">
        <w:rPr>
          <w:rFonts w:ascii="Times New Roman" w:hAnsi="Times New Roman" w:cs="Times New Roman"/>
        </w:rPr>
        <w:t>and whether</w:t>
      </w:r>
      <w:r w:rsidR="00D03BF3" w:rsidRPr="0068442A">
        <w:rPr>
          <w:rFonts w:ascii="Times New Roman" w:hAnsi="Times New Roman" w:cs="Times New Roman"/>
        </w:rPr>
        <w:t xml:space="preserve"> they </w:t>
      </w:r>
      <w:r w:rsidR="009F7D9E" w:rsidRPr="0068442A">
        <w:rPr>
          <w:rFonts w:ascii="Times New Roman" w:hAnsi="Times New Roman" w:cs="Times New Roman"/>
        </w:rPr>
        <w:t xml:space="preserve">can </w:t>
      </w:r>
      <w:r w:rsidR="00D03BF3" w:rsidRPr="0068442A">
        <w:rPr>
          <w:rFonts w:ascii="Times New Roman" w:hAnsi="Times New Roman" w:cs="Times New Roman"/>
        </w:rPr>
        <w:t>achieve their valued beings and doings through education (Unterhalter</w:t>
      </w:r>
      <w:r w:rsidR="00C32D4C" w:rsidRPr="0068442A">
        <w:rPr>
          <w:rFonts w:ascii="Times New Roman" w:hAnsi="Times New Roman" w:cs="Times New Roman"/>
        </w:rPr>
        <w:t xml:space="preserve">, </w:t>
      </w:r>
      <w:r w:rsidR="00B02934" w:rsidRPr="0068442A">
        <w:rPr>
          <w:rFonts w:ascii="Times New Roman" w:hAnsi="Times New Roman" w:cs="Times New Roman"/>
        </w:rPr>
        <w:t>2007b</w:t>
      </w:r>
      <w:r w:rsidR="00C50DA1" w:rsidRPr="0068442A">
        <w:rPr>
          <w:rFonts w:ascii="Times New Roman" w:hAnsi="Times New Roman" w:cs="Times New Roman"/>
        </w:rPr>
        <w:t>)</w:t>
      </w:r>
      <w:r w:rsidR="009A61DF">
        <w:rPr>
          <w:rFonts w:ascii="Times New Roman" w:hAnsi="Times New Roman" w:cs="Times New Roman"/>
        </w:rPr>
        <w:t xml:space="preserve">. </w:t>
      </w:r>
      <w:r w:rsidR="00AE7203">
        <w:rPr>
          <w:rFonts w:ascii="Times New Roman" w:hAnsi="Times New Roman" w:cs="Times New Roman"/>
        </w:rPr>
        <w:t>The approach</w:t>
      </w:r>
      <w:r w:rsidR="007A3B1A">
        <w:rPr>
          <w:rFonts w:ascii="Times New Roman" w:hAnsi="Times New Roman" w:cs="Times New Roman"/>
        </w:rPr>
        <w:t xml:space="preserve"> </w:t>
      </w:r>
      <w:r w:rsidR="00C0174E">
        <w:rPr>
          <w:rFonts w:ascii="Times New Roman" w:hAnsi="Times New Roman" w:cs="Times New Roman"/>
        </w:rPr>
        <w:t>draws attention to</w:t>
      </w:r>
      <w:r w:rsidR="00C50DA1" w:rsidRPr="0068442A">
        <w:rPr>
          <w:rFonts w:ascii="Times New Roman" w:hAnsi="Times New Roman" w:cs="Times New Roman"/>
        </w:rPr>
        <w:t xml:space="preserve"> </w:t>
      </w:r>
      <w:r w:rsidR="009A61DF">
        <w:rPr>
          <w:rFonts w:ascii="Times New Roman" w:hAnsi="Times New Roman" w:cs="Times New Roman"/>
        </w:rPr>
        <w:t xml:space="preserve">the </w:t>
      </w:r>
      <w:r w:rsidR="004B34CC" w:rsidRPr="0068442A">
        <w:rPr>
          <w:rFonts w:ascii="Times New Roman" w:hAnsi="Times New Roman" w:cs="Times New Roman"/>
        </w:rPr>
        <w:t xml:space="preserve">social and institutional structures </w:t>
      </w:r>
      <w:r w:rsidR="009A61DF">
        <w:rPr>
          <w:rFonts w:ascii="Times New Roman" w:hAnsi="Times New Roman" w:cs="Times New Roman"/>
        </w:rPr>
        <w:t xml:space="preserve">that </w:t>
      </w:r>
      <w:r w:rsidR="009A61DF" w:rsidRPr="0068442A">
        <w:rPr>
          <w:rFonts w:ascii="Times New Roman" w:hAnsi="Times New Roman" w:cs="Times New Roman"/>
        </w:rPr>
        <w:t>requir</w:t>
      </w:r>
      <w:r w:rsidR="009A61DF">
        <w:rPr>
          <w:rFonts w:ascii="Times New Roman" w:hAnsi="Times New Roman" w:cs="Times New Roman"/>
        </w:rPr>
        <w:t>e</w:t>
      </w:r>
      <w:r w:rsidR="009A61DF" w:rsidRPr="0068442A">
        <w:rPr>
          <w:rFonts w:ascii="Times New Roman" w:hAnsi="Times New Roman" w:cs="Times New Roman"/>
        </w:rPr>
        <w:t xml:space="preserve"> </w:t>
      </w:r>
      <w:r w:rsidR="004B34CC" w:rsidRPr="0068442A">
        <w:rPr>
          <w:rFonts w:ascii="Times New Roman" w:hAnsi="Times New Roman" w:cs="Times New Roman"/>
        </w:rPr>
        <w:t xml:space="preserve">equity interventions, </w:t>
      </w:r>
      <w:r w:rsidR="009A61DF">
        <w:rPr>
          <w:rFonts w:ascii="Times New Roman" w:hAnsi="Times New Roman" w:cs="Times New Roman"/>
        </w:rPr>
        <w:t xml:space="preserve">along with the </w:t>
      </w:r>
      <w:r w:rsidR="004B34CC" w:rsidRPr="0068442A">
        <w:rPr>
          <w:rFonts w:ascii="Times New Roman" w:hAnsi="Times New Roman" w:cs="Times New Roman"/>
        </w:rPr>
        <w:t>gender norms</w:t>
      </w:r>
      <w:r w:rsidR="009F7D9E" w:rsidRPr="0068442A">
        <w:rPr>
          <w:rFonts w:ascii="Times New Roman" w:hAnsi="Times New Roman" w:cs="Times New Roman"/>
        </w:rPr>
        <w:t>,</w:t>
      </w:r>
      <w:r w:rsidR="004B34CC" w:rsidRPr="0068442A">
        <w:rPr>
          <w:rFonts w:ascii="Times New Roman" w:hAnsi="Times New Roman" w:cs="Times New Roman"/>
        </w:rPr>
        <w:t xml:space="preserve"> gender roles and identities between social arrangements and indiv</w:t>
      </w:r>
      <w:r w:rsidR="004B34CC" w:rsidRPr="00C0174E">
        <w:rPr>
          <w:rFonts w:ascii="Times New Roman" w:hAnsi="Times New Roman" w:cs="Times New Roman"/>
        </w:rPr>
        <w:t xml:space="preserve">idual freedoms </w:t>
      </w:r>
      <w:r w:rsidR="009D1D18" w:rsidRPr="00C0174E">
        <w:rPr>
          <w:rFonts w:ascii="Times New Roman" w:hAnsi="Times New Roman" w:cs="Times New Roman"/>
        </w:rPr>
        <w:t>(Unterhalter</w:t>
      </w:r>
      <w:r w:rsidR="00C32D4C" w:rsidRPr="00C0174E">
        <w:rPr>
          <w:rFonts w:ascii="Times New Roman" w:hAnsi="Times New Roman" w:cs="Times New Roman"/>
        </w:rPr>
        <w:t xml:space="preserve">, </w:t>
      </w:r>
      <w:r w:rsidR="004B34CC" w:rsidRPr="00C0174E">
        <w:rPr>
          <w:rFonts w:ascii="Times New Roman" w:hAnsi="Times New Roman" w:cs="Times New Roman"/>
        </w:rPr>
        <w:t>2007</w:t>
      </w:r>
      <w:r w:rsidR="00E7356D" w:rsidRPr="00C0174E">
        <w:rPr>
          <w:rFonts w:ascii="Times New Roman" w:hAnsi="Times New Roman" w:cs="Times New Roman"/>
        </w:rPr>
        <w:t>a</w:t>
      </w:r>
      <w:r w:rsidR="004B34CC" w:rsidRPr="00C0174E">
        <w:rPr>
          <w:rFonts w:ascii="Times New Roman" w:hAnsi="Times New Roman" w:cs="Times New Roman"/>
        </w:rPr>
        <w:t xml:space="preserve">). </w:t>
      </w:r>
      <w:r w:rsidR="00C0174E" w:rsidRPr="00C0174E">
        <w:rPr>
          <w:rFonts w:ascii="Times New Roman" w:hAnsi="Times New Roman" w:cs="Times New Roman"/>
        </w:rPr>
        <w:t>Together, they highlight the importance of considering</w:t>
      </w:r>
      <w:r w:rsidR="00C0174E" w:rsidRPr="00EC7182">
        <w:rPr>
          <w:rFonts w:ascii="Times New Roman" w:hAnsi="Times New Roman" w:cs="Times New Roman"/>
        </w:rPr>
        <w:t xml:space="preserve"> </w:t>
      </w:r>
      <w:r w:rsidR="00C50DA1" w:rsidRPr="00C0174E">
        <w:rPr>
          <w:rFonts w:ascii="Times New Roman" w:hAnsi="Times New Roman" w:cs="Times New Roman"/>
        </w:rPr>
        <w:t>“</w:t>
      </w:r>
      <w:r w:rsidR="004B34CC" w:rsidRPr="00C0174E">
        <w:rPr>
          <w:rFonts w:ascii="Times New Roman" w:hAnsi="Times New Roman" w:cs="Times New Roman"/>
        </w:rPr>
        <w:t>possibilities for well-being (through enabling valued functionings), agency expansion and mobili</w:t>
      </w:r>
      <w:r w:rsidR="0050617E" w:rsidRPr="00C0174E">
        <w:rPr>
          <w:rFonts w:ascii="Times New Roman" w:hAnsi="Times New Roman" w:cs="Times New Roman"/>
        </w:rPr>
        <w:t>s</w:t>
      </w:r>
      <w:r w:rsidR="004B34CC" w:rsidRPr="00C0174E">
        <w:rPr>
          <w:rFonts w:ascii="Times New Roman" w:hAnsi="Times New Roman" w:cs="Times New Roman"/>
        </w:rPr>
        <w:t>ation (enabling people to participate in their own development according to their own goals), and critically reflecting on one’s own values and well-being (through inclusion in the development and pol</w:t>
      </w:r>
      <w:r w:rsidR="00C32D4C" w:rsidRPr="00C0174E">
        <w:rPr>
          <w:rFonts w:ascii="Times New Roman" w:hAnsi="Times New Roman" w:cs="Times New Roman"/>
        </w:rPr>
        <w:t xml:space="preserve">icy process)” (Loots and Walker, </w:t>
      </w:r>
      <w:r w:rsidR="009D1D18" w:rsidRPr="00C0174E">
        <w:rPr>
          <w:rFonts w:ascii="Times New Roman" w:hAnsi="Times New Roman" w:cs="Times New Roman"/>
        </w:rPr>
        <w:t>2016</w:t>
      </w:r>
      <w:r w:rsidR="00EF7998" w:rsidRPr="00C0174E">
        <w:rPr>
          <w:rFonts w:ascii="Times New Roman" w:hAnsi="Times New Roman" w:cs="Times New Roman"/>
        </w:rPr>
        <w:t>:</w:t>
      </w:r>
      <w:r w:rsidR="009D1D18" w:rsidRPr="00C0174E">
        <w:rPr>
          <w:rFonts w:ascii="Times New Roman" w:hAnsi="Times New Roman" w:cs="Times New Roman"/>
        </w:rPr>
        <w:t xml:space="preserve"> </w:t>
      </w:r>
      <w:r w:rsidR="004B34CC" w:rsidRPr="00C0174E">
        <w:rPr>
          <w:rFonts w:ascii="Times New Roman" w:hAnsi="Times New Roman" w:cs="Times New Roman"/>
        </w:rPr>
        <w:t>262).</w:t>
      </w:r>
    </w:p>
    <w:p w14:paraId="7AB76590" w14:textId="7579643D" w:rsidR="009E5258" w:rsidRPr="0068442A" w:rsidRDefault="00866181" w:rsidP="00DB407F">
      <w:pPr>
        <w:autoSpaceDE w:val="0"/>
        <w:autoSpaceDN w:val="0"/>
        <w:adjustRightInd w:val="0"/>
        <w:spacing w:after="0" w:line="360" w:lineRule="auto"/>
        <w:ind w:firstLine="720"/>
        <w:jc w:val="both"/>
        <w:rPr>
          <w:rFonts w:ascii="Times New Roman" w:hAnsi="Times New Roman" w:cs="Times New Roman"/>
        </w:rPr>
      </w:pPr>
      <w:r w:rsidRPr="0068442A">
        <w:rPr>
          <w:rFonts w:ascii="Times New Roman" w:hAnsi="Times New Roman" w:cs="Times New Roman"/>
        </w:rPr>
        <w:lastRenderedPageBreak/>
        <w:t>To i</w:t>
      </w:r>
      <w:r w:rsidR="00B02934" w:rsidRPr="0068442A">
        <w:rPr>
          <w:rFonts w:ascii="Times New Roman" w:hAnsi="Times New Roman" w:cs="Times New Roman"/>
        </w:rPr>
        <w:t>ntegrat</w:t>
      </w:r>
      <w:r w:rsidRPr="0068442A">
        <w:rPr>
          <w:rFonts w:ascii="Times New Roman" w:hAnsi="Times New Roman" w:cs="Times New Roman"/>
        </w:rPr>
        <w:t>e</w:t>
      </w:r>
      <w:r w:rsidR="00B02934" w:rsidRPr="0068442A">
        <w:rPr>
          <w:rFonts w:ascii="Times New Roman" w:hAnsi="Times New Roman" w:cs="Times New Roman"/>
        </w:rPr>
        <w:t xml:space="preserve"> </w:t>
      </w:r>
      <w:r w:rsidR="002D0319" w:rsidRPr="0068442A">
        <w:rPr>
          <w:rFonts w:ascii="Times New Roman" w:hAnsi="Times New Roman" w:cs="Times New Roman"/>
        </w:rPr>
        <w:t xml:space="preserve">the </w:t>
      </w:r>
      <w:r w:rsidR="00B02934" w:rsidRPr="0068442A">
        <w:rPr>
          <w:rFonts w:ascii="Times New Roman" w:hAnsi="Times New Roman" w:cs="Times New Roman"/>
        </w:rPr>
        <w:t xml:space="preserve">capabilities perspective </w:t>
      </w:r>
      <w:r w:rsidR="002D0319" w:rsidRPr="0068442A">
        <w:rPr>
          <w:rFonts w:ascii="Times New Roman" w:hAnsi="Times New Roman" w:cs="Times New Roman"/>
        </w:rPr>
        <w:t>with</w:t>
      </w:r>
      <w:r w:rsidR="004B34CC" w:rsidRPr="0068442A">
        <w:rPr>
          <w:rFonts w:ascii="Times New Roman" w:hAnsi="Times New Roman" w:cs="Times New Roman"/>
        </w:rPr>
        <w:t xml:space="preserve"> policy development, </w:t>
      </w:r>
      <w:r w:rsidR="00712A1E" w:rsidRPr="0068442A">
        <w:rPr>
          <w:rFonts w:ascii="Times New Roman" w:hAnsi="Times New Roman" w:cs="Times New Roman"/>
        </w:rPr>
        <w:t xml:space="preserve">Alkire (2008) proposes two applications of the approach: evaluative and prospective analysis. </w:t>
      </w:r>
      <w:r w:rsidR="002D0319" w:rsidRPr="0068442A">
        <w:rPr>
          <w:rFonts w:ascii="Times New Roman" w:hAnsi="Times New Roman" w:cs="Times New Roman"/>
        </w:rPr>
        <w:t>The e</w:t>
      </w:r>
      <w:r w:rsidR="008D6B89" w:rsidRPr="0068442A">
        <w:rPr>
          <w:rFonts w:ascii="Times New Roman" w:hAnsi="Times New Roman" w:cs="Times New Roman"/>
        </w:rPr>
        <w:t>valuative aspect</w:t>
      </w:r>
      <w:r w:rsidR="00712A1E" w:rsidRPr="0068442A">
        <w:rPr>
          <w:rFonts w:ascii="Times New Roman" w:hAnsi="Times New Roman" w:cs="Times New Roman"/>
        </w:rPr>
        <w:t xml:space="preserve"> is concerned with which </w:t>
      </w:r>
      <w:r w:rsidR="00716907" w:rsidRPr="0068442A">
        <w:rPr>
          <w:rFonts w:ascii="Times New Roman" w:hAnsi="Times New Roman" w:cs="Times New Roman"/>
        </w:rPr>
        <w:t>capabilities</w:t>
      </w:r>
      <w:r w:rsidR="002D0319" w:rsidRPr="0068442A">
        <w:rPr>
          <w:rFonts w:ascii="Times New Roman" w:hAnsi="Times New Roman" w:cs="Times New Roman"/>
        </w:rPr>
        <w:t xml:space="preserve"> are expanded, to what extent they are expanded, and for whom; </w:t>
      </w:r>
      <w:r w:rsidR="00712A1E" w:rsidRPr="0068442A">
        <w:rPr>
          <w:rFonts w:ascii="Times New Roman" w:hAnsi="Times New Roman" w:cs="Times New Roman"/>
        </w:rPr>
        <w:t xml:space="preserve">the prospective </w:t>
      </w:r>
      <w:r w:rsidR="002D0319" w:rsidRPr="0068442A">
        <w:rPr>
          <w:rFonts w:ascii="Times New Roman" w:hAnsi="Times New Roman" w:cs="Times New Roman"/>
        </w:rPr>
        <w:t xml:space="preserve">analysis </w:t>
      </w:r>
      <w:r w:rsidR="00712A1E" w:rsidRPr="0068442A">
        <w:rPr>
          <w:rFonts w:ascii="Times New Roman" w:hAnsi="Times New Roman" w:cs="Times New Roman"/>
        </w:rPr>
        <w:t>focuses on how an</w:t>
      </w:r>
      <w:r w:rsidR="00C675D3" w:rsidRPr="0068442A">
        <w:rPr>
          <w:rFonts w:ascii="Times New Roman" w:hAnsi="Times New Roman" w:cs="Times New Roman"/>
        </w:rPr>
        <w:t xml:space="preserve">d why capabilities are expanded and </w:t>
      </w:r>
      <w:r w:rsidR="00733FB1">
        <w:rPr>
          <w:rFonts w:ascii="Times New Roman" w:hAnsi="Times New Roman" w:cs="Times New Roman"/>
        </w:rPr>
        <w:t xml:space="preserve">on </w:t>
      </w:r>
      <w:r w:rsidR="00C675D3" w:rsidRPr="0068442A">
        <w:rPr>
          <w:rFonts w:ascii="Times New Roman" w:hAnsi="Times New Roman" w:cs="Times New Roman"/>
        </w:rPr>
        <w:t>identifying “which concrete actions are likely to generate a greater stream of</w:t>
      </w:r>
      <w:r w:rsidR="00C32D4C" w:rsidRPr="0068442A">
        <w:rPr>
          <w:rFonts w:ascii="Times New Roman" w:hAnsi="Times New Roman" w:cs="Times New Roman"/>
        </w:rPr>
        <w:t xml:space="preserve"> expanded capabilities” (Alkire, 2008, </w:t>
      </w:r>
      <w:r w:rsidR="00C675D3" w:rsidRPr="0068442A">
        <w:rPr>
          <w:rFonts w:ascii="Times New Roman" w:hAnsi="Times New Roman" w:cs="Times New Roman"/>
        </w:rPr>
        <w:t>32).</w:t>
      </w:r>
      <w:r w:rsidR="0066109E" w:rsidRPr="0068442A">
        <w:rPr>
          <w:rFonts w:ascii="Times New Roman" w:hAnsi="Times New Roman" w:cs="Times New Roman"/>
        </w:rPr>
        <w:t xml:space="preserve"> </w:t>
      </w:r>
      <w:r w:rsidR="00716907" w:rsidRPr="0068442A">
        <w:rPr>
          <w:rFonts w:ascii="Times New Roman" w:hAnsi="Times New Roman" w:cs="Times New Roman"/>
        </w:rPr>
        <w:t xml:space="preserve">In this paper, we are concerned with </w:t>
      </w:r>
      <w:r w:rsidR="00733FB1">
        <w:rPr>
          <w:rFonts w:ascii="Times New Roman" w:hAnsi="Times New Roman" w:cs="Times New Roman"/>
        </w:rPr>
        <w:t xml:space="preserve">using </w:t>
      </w:r>
      <w:r w:rsidR="00716907" w:rsidRPr="0068442A">
        <w:rPr>
          <w:rFonts w:ascii="Times New Roman" w:hAnsi="Times New Roman" w:cs="Times New Roman"/>
        </w:rPr>
        <w:t xml:space="preserve">the primary evaluative role of </w:t>
      </w:r>
      <w:r w:rsidR="002D0319" w:rsidRPr="0068442A">
        <w:rPr>
          <w:rFonts w:ascii="Times New Roman" w:hAnsi="Times New Roman" w:cs="Times New Roman"/>
        </w:rPr>
        <w:t xml:space="preserve">the </w:t>
      </w:r>
      <w:r w:rsidR="00716907" w:rsidRPr="0068442A">
        <w:rPr>
          <w:rFonts w:ascii="Times New Roman" w:hAnsi="Times New Roman" w:cs="Times New Roman"/>
        </w:rPr>
        <w:t>capability approach to assess how the new reform ha</w:t>
      </w:r>
      <w:r w:rsidR="002D0319" w:rsidRPr="0068442A">
        <w:rPr>
          <w:rFonts w:ascii="Times New Roman" w:hAnsi="Times New Roman" w:cs="Times New Roman"/>
        </w:rPr>
        <w:t>s</w:t>
      </w:r>
      <w:r w:rsidR="00716907" w:rsidRPr="0068442A">
        <w:rPr>
          <w:rFonts w:ascii="Times New Roman" w:hAnsi="Times New Roman" w:cs="Times New Roman"/>
        </w:rPr>
        <w:t xml:space="preserve"> </w:t>
      </w:r>
      <w:r w:rsidR="00C50DA1" w:rsidRPr="0068442A">
        <w:rPr>
          <w:rFonts w:ascii="Times New Roman" w:hAnsi="Times New Roman" w:cs="Times New Roman"/>
        </w:rPr>
        <w:t>affected</w:t>
      </w:r>
      <w:r w:rsidR="00D11539" w:rsidRPr="0068442A">
        <w:rPr>
          <w:rFonts w:ascii="Times New Roman" w:hAnsi="Times New Roman" w:cs="Times New Roman"/>
        </w:rPr>
        <w:t xml:space="preserve"> </w:t>
      </w:r>
      <w:r w:rsidR="002D0319" w:rsidRPr="0068442A">
        <w:rPr>
          <w:rFonts w:ascii="Times New Roman" w:hAnsi="Times New Roman" w:cs="Times New Roman"/>
        </w:rPr>
        <w:t xml:space="preserve">particular </w:t>
      </w:r>
      <w:r w:rsidR="00D11539" w:rsidRPr="0068442A">
        <w:rPr>
          <w:rFonts w:ascii="Times New Roman" w:hAnsi="Times New Roman" w:cs="Times New Roman"/>
        </w:rPr>
        <w:t>human freedoms</w:t>
      </w:r>
      <w:r w:rsidR="002D0319" w:rsidRPr="0068442A">
        <w:rPr>
          <w:rFonts w:ascii="Times New Roman" w:hAnsi="Times New Roman" w:cs="Times New Roman"/>
        </w:rPr>
        <w:t xml:space="preserve">, </w:t>
      </w:r>
      <w:r w:rsidR="00DB407F" w:rsidRPr="0068442A">
        <w:rPr>
          <w:rFonts w:ascii="Times New Roman" w:hAnsi="Times New Roman" w:cs="Times New Roman"/>
        </w:rPr>
        <w:t xml:space="preserve">which opportunities are available, what these freedoms are, and where interventions are needed to expand freedoms. </w:t>
      </w:r>
      <w:r w:rsidR="002D0319" w:rsidRPr="0068442A">
        <w:rPr>
          <w:rFonts w:ascii="Times New Roman" w:eastAsia="Times New Roman" w:hAnsi="Times New Roman" w:cs="Times New Roman"/>
          <w:lang w:eastAsia="en-GB"/>
        </w:rPr>
        <w:t>E</w:t>
      </w:r>
      <w:r w:rsidR="00252CF4" w:rsidRPr="0068442A">
        <w:rPr>
          <w:rFonts w:ascii="Times New Roman" w:eastAsia="Times New Roman" w:hAnsi="Times New Roman" w:cs="Times New Roman"/>
          <w:lang w:eastAsia="en-GB"/>
        </w:rPr>
        <w:t xml:space="preserve">valuating policy from </w:t>
      </w:r>
      <w:r w:rsidR="002D0319" w:rsidRPr="0068442A">
        <w:rPr>
          <w:rFonts w:ascii="Times New Roman" w:eastAsia="Times New Roman" w:hAnsi="Times New Roman" w:cs="Times New Roman"/>
          <w:lang w:eastAsia="en-GB"/>
        </w:rPr>
        <w:t xml:space="preserve">the </w:t>
      </w:r>
      <w:r w:rsidR="00252CF4" w:rsidRPr="0068442A">
        <w:rPr>
          <w:rFonts w:ascii="Times New Roman" w:eastAsia="Times New Roman" w:hAnsi="Times New Roman" w:cs="Times New Roman"/>
          <w:lang w:eastAsia="en-GB"/>
        </w:rPr>
        <w:t xml:space="preserve">capabilities </w:t>
      </w:r>
      <w:r w:rsidR="004A3FC9" w:rsidRPr="0068442A">
        <w:rPr>
          <w:rFonts w:ascii="Times New Roman" w:eastAsia="Times New Roman" w:hAnsi="Times New Roman" w:cs="Times New Roman"/>
          <w:lang w:eastAsia="en-GB"/>
        </w:rPr>
        <w:t>per</w:t>
      </w:r>
      <w:r w:rsidR="004A3FC9">
        <w:rPr>
          <w:rFonts w:ascii="Times New Roman" w:eastAsia="Times New Roman" w:hAnsi="Times New Roman" w:cs="Times New Roman"/>
          <w:lang w:eastAsia="en-GB"/>
        </w:rPr>
        <w:t>spective</w:t>
      </w:r>
      <w:r w:rsidR="004A3FC9" w:rsidRPr="0068442A">
        <w:rPr>
          <w:rFonts w:ascii="Times New Roman" w:eastAsia="Times New Roman" w:hAnsi="Times New Roman" w:cs="Times New Roman"/>
          <w:lang w:eastAsia="en-GB"/>
        </w:rPr>
        <w:t xml:space="preserve"> </w:t>
      </w:r>
      <w:r w:rsidR="00252CF4" w:rsidRPr="0068442A">
        <w:rPr>
          <w:rFonts w:ascii="Times New Roman" w:eastAsia="Times New Roman" w:hAnsi="Times New Roman" w:cs="Times New Roman"/>
          <w:lang w:eastAsia="en-GB"/>
        </w:rPr>
        <w:t>requires paying attention to the political and social structures influencing policies</w:t>
      </w:r>
      <w:r w:rsidR="00733FB1">
        <w:rPr>
          <w:rFonts w:ascii="Times New Roman" w:eastAsia="Times New Roman" w:hAnsi="Times New Roman" w:cs="Times New Roman"/>
          <w:lang w:eastAsia="en-GB"/>
        </w:rPr>
        <w:t>—</w:t>
      </w:r>
      <w:r w:rsidR="00252CF4" w:rsidRPr="0068442A">
        <w:rPr>
          <w:rFonts w:ascii="Times New Roman" w:eastAsia="Times New Roman" w:hAnsi="Times New Roman" w:cs="Times New Roman"/>
          <w:lang w:eastAsia="en-GB"/>
        </w:rPr>
        <w:t xml:space="preserve">such as whose values are being </w:t>
      </w:r>
      <w:r w:rsidR="002D0319" w:rsidRPr="0068442A">
        <w:rPr>
          <w:rFonts w:ascii="Times New Roman" w:eastAsia="Times New Roman" w:hAnsi="Times New Roman" w:cs="Times New Roman"/>
          <w:lang w:eastAsia="en-GB"/>
        </w:rPr>
        <w:t xml:space="preserve">expanded </w:t>
      </w:r>
      <w:r w:rsidR="00252CF4" w:rsidRPr="0068442A">
        <w:rPr>
          <w:rFonts w:ascii="Times New Roman" w:eastAsia="Times New Roman" w:hAnsi="Times New Roman" w:cs="Times New Roman"/>
          <w:lang w:eastAsia="en-GB"/>
        </w:rPr>
        <w:t>and</w:t>
      </w:r>
      <w:r w:rsidR="009D1D18" w:rsidRPr="0068442A">
        <w:rPr>
          <w:rFonts w:ascii="Times New Roman" w:eastAsia="Times New Roman" w:hAnsi="Times New Roman" w:cs="Times New Roman"/>
          <w:lang w:eastAsia="en-GB"/>
        </w:rPr>
        <w:t xml:space="preserve"> for which purposes (Eiffe</w:t>
      </w:r>
      <w:r w:rsidR="00C32D4C" w:rsidRPr="0068442A">
        <w:rPr>
          <w:rFonts w:ascii="Times New Roman" w:eastAsia="Times New Roman" w:hAnsi="Times New Roman" w:cs="Times New Roman"/>
          <w:lang w:eastAsia="en-GB"/>
        </w:rPr>
        <w:t xml:space="preserve">, </w:t>
      </w:r>
      <w:r w:rsidR="00765C75" w:rsidRPr="0068442A">
        <w:rPr>
          <w:rFonts w:ascii="Times New Roman" w:eastAsia="Times New Roman" w:hAnsi="Times New Roman" w:cs="Times New Roman"/>
          <w:lang w:eastAsia="en-GB"/>
        </w:rPr>
        <w:t>2014</w:t>
      </w:r>
      <w:r w:rsidR="00733FB1" w:rsidRPr="0068442A">
        <w:rPr>
          <w:rFonts w:ascii="Times New Roman" w:eastAsia="Times New Roman" w:hAnsi="Times New Roman" w:cs="Times New Roman"/>
          <w:lang w:eastAsia="en-GB"/>
        </w:rPr>
        <w:t>)</w:t>
      </w:r>
      <w:r w:rsidR="00733FB1">
        <w:rPr>
          <w:rFonts w:ascii="Times New Roman" w:eastAsia="Times New Roman" w:hAnsi="Times New Roman" w:cs="Times New Roman"/>
          <w:lang w:eastAsia="en-GB"/>
        </w:rPr>
        <w:t xml:space="preserve">. This </w:t>
      </w:r>
      <w:r w:rsidR="00252CF4" w:rsidRPr="0068442A">
        <w:rPr>
          <w:rFonts w:ascii="Times New Roman" w:eastAsia="Times New Roman" w:hAnsi="Times New Roman" w:cs="Times New Roman"/>
          <w:lang w:eastAsia="en-GB"/>
        </w:rPr>
        <w:t xml:space="preserve">could lead to </w:t>
      </w:r>
      <w:r w:rsidR="00555F0D" w:rsidRPr="0068442A">
        <w:rPr>
          <w:rFonts w:ascii="Times New Roman" w:eastAsia="Times New Roman" w:hAnsi="Times New Roman" w:cs="Times New Roman"/>
          <w:lang w:eastAsia="en-GB"/>
        </w:rPr>
        <w:t xml:space="preserve">a </w:t>
      </w:r>
      <w:r w:rsidR="00252CF4" w:rsidRPr="0068442A">
        <w:rPr>
          <w:rFonts w:ascii="Times New Roman" w:eastAsia="Times New Roman" w:hAnsi="Times New Roman" w:cs="Times New Roman"/>
          <w:lang w:eastAsia="en-GB"/>
        </w:rPr>
        <w:t>prospective analysis to</w:t>
      </w:r>
      <w:r w:rsidR="00BE0E71" w:rsidRPr="0068442A">
        <w:rPr>
          <w:rFonts w:ascii="Times New Roman" w:hAnsi="Times New Roman" w:cs="Times New Roman"/>
          <w:color w:val="000000"/>
        </w:rPr>
        <w:t xml:space="preserve"> </w:t>
      </w:r>
      <w:r w:rsidR="003A15F3" w:rsidRPr="0068442A">
        <w:rPr>
          <w:rFonts w:ascii="Times New Roman" w:hAnsi="Times New Roman" w:cs="Times New Roman"/>
          <w:color w:val="000000"/>
        </w:rPr>
        <w:t xml:space="preserve">identify the </w:t>
      </w:r>
      <w:r w:rsidR="00BE0E71" w:rsidRPr="0068442A">
        <w:rPr>
          <w:rFonts w:ascii="Times New Roman" w:hAnsi="Times New Roman" w:cs="Times New Roman"/>
          <w:color w:val="000000"/>
        </w:rPr>
        <w:t xml:space="preserve">structural changes </w:t>
      </w:r>
      <w:r w:rsidR="003A15F3" w:rsidRPr="0068442A">
        <w:rPr>
          <w:rFonts w:ascii="Times New Roman" w:hAnsi="Times New Roman" w:cs="Times New Roman"/>
          <w:color w:val="000000"/>
        </w:rPr>
        <w:t xml:space="preserve">that </w:t>
      </w:r>
      <w:r w:rsidR="00BE0E71" w:rsidRPr="0068442A">
        <w:rPr>
          <w:rFonts w:ascii="Times New Roman" w:hAnsi="Times New Roman" w:cs="Times New Roman"/>
          <w:color w:val="000000"/>
        </w:rPr>
        <w:t>would expand the</w:t>
      </w:r>
      <w:r w:rsidR="00252CF4" w:rsidRPr="0068442A">
        <w:rPr>
          <w:rFonts w:ascii="Times New Roman" w:hAnsi="Times New Roman" w:cs="Times New Roman"/>
        </w:rPr>
        <w:t xml:space="preserve"> </w:t>
      </w:r>
      <w:r w:rsidR="00BE0E71" w:rsidRPr="0068442A">
        <w:rPr>
          <w:rFonts w:ascii="Times New Roman" w:hAnsi="Times New Roman" w:cs="Times New Roman"/>
          <w:color w:val="000000"/>
        </w:rPr>
        <w:t>identifi</w:t>
      </w:r>
      <w:r w:rsidR="00252CF4" w:rsidRPr="0068442A">
        <w:rPr>
          <w:rFonts w:ascii="Times New Roman" w:hAnsi="Times New Roman" w:cs="Times New Roman"/>
          <w:color w:val="000000"/>
        </w:rPr>
        <w:t>ed</w:t>
      </w:r>
      <w:r w:rsidR="009D1D18" w:rsidRPr="0068442A">
        <w:rPr>
          <w:rFonts w:ascii="Times New Roman" w:hAnsi="Times New Roman" w:cs="Times New Roman"/>
          <w:color w:val="000000"/>
        </w:rPr>
        <w:t xml:space="preserve"> capabilities (Loots and Walker</w:t>
      </w:r>
      <w:r w:rsidR="00C32D4C" w:rsidRPr="0068442A">
        <w:rPr>
          <w:rFonts w:ascii="Times New Roman" w:hAnsi="Times New Roman" w:cs="Times New Roman"/>
          <w:color w:val="000000"/>
        </w:rPr>
        <w:t xml:space="preserve">, </w:t>
      </w:r>
      <w:r w:rsidR="00252CF4" w:rsidRPr="0068442A">
        <w:rPr>
          <w:rFonts w:ascii="Times New Roman" w:hAnsi="Times New Roman" w:cs="Times New Roman"/>
          <w:color w:val="000000"/>
        </w:rPr>
        <w:t>2016).</w:t>
      </w:r>
      <w:r w:rsidR="0066109E" w:rsidRPr="0068442A">
        <w:rPr>
          <w:rFonts w:ascii="Times New Roman" w:hAnsi="Times New Roman" w:cs="Times New Roman"/>
          <w:color w:val="000000"/>
        </w:rPr>
        <w:t xml:space="preserve"> </w:t>
      </w:r>
    </w:p>
    <w:p w14:paraId="5543AD46" w14:textId="25406E34" w:rsidR="00252CF4" w:rsidRPr="0068442A" w:rsidRDefault="00C50DA1" w:rsidP="00AB432B">
      <w:pPr>
        <w:autoSpaceDE w:val="0"/>
        <w:autoSpaceDN w:val="0"/>
        <w:adjustRightInd w:val="0"/>
        <w:spacing w:after="0" w:line="360" w:lineRule="auto"/>
        <w:ind w:firstLine="720"/>
        <w:jc w:val="both"/>
        <w:rPr>
          <w:rFonts w:ascii="Times New Roman" w:hAnsi="Times New Roman" w:cs="Times New Roman"/>
          <w:color w:val="000000"/>
        </w:rPr>
      </w:pPr>
      <w:r w:rsidRPr="0068442A">
        <w:rPr>
          <w:rFonts w:ascii="Times New Roman" w:hAnsi="Times New Roman" w:cs="Times New Roman"/>
          <w:color w:val="000000"/>
        </w:rPr>
        <w:t>We therefore</w:t>
      </w:r>
      <w:r w:rsidR="00FF0526" w:rsidRPr="0068442A">
        <w:rPr>
          <w:rFonts w:ascii="Times New Roman" w:hAnsi="Times New Roman" w:cs="Times New Roman"/>
          <w:color w:val="000000"/>
        </w:rPr>
        <w:t>,</w:t>
      </w:r>
      <w:r w:rsidR="00252CF4" w:rsidRPr="0068442A">
        <w:rPr>
          <w:rFonts w:ascii="Times New Roman" w:hAnsi="Times New Roman" w:cs="Times New Roman"/>
          <w:color w:val="000000"/>
        </w:rPr>
        <w:t xml:space="preserve"> through </w:t>
      </w:r>
      <w:r w:rsidR="00B02934" w:rsidRPr="0068442A">
        <w:rPr>
          <w:rFonts w:ascii="Times New Roman" w:hAnsi="Times New Roman" w:cs="Times New Roman"/>
          <w:color w:val="000000"/>
        </w:rPr>
        <w:t>a number of</w:t>
      </w:r>
      <w:r w:rsidR="00252CF4" w:rsidRPr="0068442A">
        <w:rPr>
          <w:rFonts w:ascii="Times New Roman" w:hAnsi="Times New Roman" w:cs="Times New Roman"/>
          <w:color w:val="000000"/>
        </w:rPr>
        <w:t xml:space="preserve"> </w:t>
      </w:r>
      <w:r w:rsidR="005344EA" w:rsidRPr="0068442A">
        <w:rPr>
          <w:rFonts w:ascii="Times New Roman" w:hAnsi="Times New Roman" w:cs="Times New Roman"/>
          <w:color w:val="000000"/>
        </w:rPr>
        <w:t>interviews</w:t>
      </w:r>
      <w:r w:rsidR="00252CF4" w:rsidRPr="0068442A">
        <w:rPr>
          <w:rFonts w:ascii="Times New Roman" w:hAnsi="Times New Roman" w:cs="Times New Roman"/>
          <w:color w:val="000000"/>
        </w:rPr>
        <w:t xml:space="preserve"> with those who </w:t>
      </w:r>
      <w:r w:rsidR="00733FB1">
        <w:rPr>
          <w:rFonts w:ascii="Times New Roman" w:hAnsi="Times New Roman" w:cs="Times New Roman"/>
          <w:color w:val="000000"/>
        </w:rPr>
        <w:t xml:space="preserve">have an </w:t>
      </w:r>
      <w:r w:rsidR="00FF0526" w:rsidRPr="0068442A">
        <w:rPr>
          <w:rFonts w:ascii="Times New Roman" w:hAnsi="Times New Roman" w:cs="Times New Roman"/>
          <w:color w:val="000000"/>
        </w:rPr>
        <w:t>impact</w:t>
      </w:r>
      <w:r w:rsidR="00252CF4" w:rsidRPr="0068442A">
        <w:rPr>
          <w:rFonts w:ascii="Times New Roman" w:hAnsi="Times New Roman" w:cs="Times New Roman"/>
          <w:color w:val="000000"/>
        </w:rPr>
        <w:t xml:space="preserve"> </w:t>
      </w:r>
      <w:r w:rsidR="00733FB1">
        <w:rPr>
          <w:rFonts w:ascii="Times New Roman" w:hAnsi="Times New Roman" w:cs="Times New Roman"/>
          <w:color w:val="000000"/>
        </w:rPr>
        <w:t xml:space="preserve">on </w:t>
      </w:r>
      <w:r w:rsidR="00FF0526" w:rsidRPr="0068442A">
        <w:rPr>
          <w:rFonts w:ascii="Times New Roman" w:hAnsi="Times New Roman" w:cs="Times New Roman"/>
          <w:color w:val="000000"/>
        </w:rPr>
        <w:t xml:space="preserve">the </w:t>
      </w:r>
      <w:r w:rsidR="00252CF4" w:rsidRPr="0068442A">
        <w:rPr>
          <w:rFonts w:ascii="Times New Roman" w:hAnsi="Times New Roman" w:cs="Times New Roman"/>
          <w:color w:val="000000"/>
        </w:rPr>
        <w:t>policy-making process</w:t>
      </w:r>
      <w:r w:rsidR="00733FB1">
        <w:rPr>
          <w:rFonts w:ascii="Times New Roman" w:hAnsi="Times New Roman" w:cs="Times New Roman"/>
          <w:color w:val="000000"/>
        </w:rPr>
        <w:t>,</w:t>
      </w:r>
      <w:r w:rsidR="00252CF4" w:rsidRPr="0068442A">
        <w:rPr>
          <w:rFonts w:ascii="Times New Roman" w:hAnsi="Times New Roman" w:cs="Times New Roman"/>
          <w:color w:val="000000"/>
        </w:rPr>
        <w:t xml:space="preserve"> and with </w:t>
      </w:r>
      <w:r w:rsidR="00153F97" w:rsidRPr="0068442A">
        <w:rPr>
          <w:rFonts w:ascii="Times New Roman" w:hAnsi="Times New Roman" w:cs="Times New Roman"/>
          <w:color w:val="000000"/>
        </w:rPr>
        <w:t>teachers—</w:t>
      </w:r>
      <w:r w:rsidR="00252CF4" w:rsidRPr="0068442A">
        <w:rPr>
          <w:rFonts w:ascii="Times New Roman" w:hAnsi="Times New Roman" w:cs="Times New Roman"/>
          <w:color w:val="000000"/>
        </w:rPr>
        <w:t xml:space="preserve">as the </w:t>
      </w:r>
      <w:r w:rsidR="00733FB1">
        <w:rPr>
          <w:rFonts w:ascii="Times New Roman" w:hAnsi="Times New Roman" w:cs="Times New Roman"/>
          <w:color w:val="000000"/>
        </w:rPr>
        <w:t>final</w:t>
      </w:r>
      <w:r w:rsidR="00733FB1" w:rsidRPr="0068442A">
        <w:rPr>
          <w:rFonts w:ascii="Times New Roman" w:hAnsi="Times New Roman" w:cs="Times New Roman"/>
          <w:color w:val="000000"/>
        </w:rPr>
        <w:t xml:space="preserve"> </w:t>
      </w:r>
      <w:r w:rsidR="005344EA" w:rsidRPr="0068442A">
        <w:rPr>
          <w:rFonts w:ascii="Times New Roman" w:hAnsi="Times New Roman" w:cs="Times New Roman"/>
          <w:color w:val="000000"/>
        </w:rPr>
        <w:t>practitioners</w:t>
      </w:r>
      <w:r w:rsidR="002F2647" w:rsidRPr="0068442A">
        <w:rPr>
          <w:rFonts w:ascii="Times New Roman" w:hAnsi="Times New Roman" w:cs="Times New Roman"/>
          <w:color w:val="000000"/>
        </w:rPr>
        <w:t xml:space="preserve"> of such policies</w:t>
      </w:r>
      <w:r w:rsidR="00153F97" w:rsidRPr="0068442A">
        <w:rPr>
          <w:rFonts w:ascii="Times New Roman" w:hAnsi="Times New Roman" w:cs="Times New Roman"/>
          <w:color w:val="000000"/>
        </w:rPr>
        <w:t>—</w:t>
      </w:r>
      <w:r w:rsidR="002F2647" w:rsidRPr="0068442A">
        <w:rPr>
          <w:rFonts w:ascii="Times New Roman" w:hAnsi="Times New Roman" w:cs="Times New Roman"/>
          <w:color w:val="000000"/>
        </w:rPr>
        <w:t xml:space="preserve">aim to explore the </w:t>
      </w:r>
      <w:r w:rsidR="00B02934" w:rsidRPr="0068442A">
        <w:rPr>
          <w:rFonts w:ascii="Times New Roman" w:hAnsi="Times New Roman" w:cs="Times New Roman"/>
          <w:color w:val="000000"/>
        </w:rPr>
        <w:t>policy goals of the new reform</w:t>
      </w:r>
      <w:r w:rsidR="006C7FDB">
        <w:rPr>
          <w:rFonts w:ascii="Times New Roman" w:hAnsi="Times New Roman" w:cs="Times New Roman"/>
          <w:color w:val="000000"/>
        </w:rPr>
        <w:t xml:space="preserve">, </w:t>
      </w:r>
      <w:r w:rsidR="00B02934" w:rsidRPr="0068442A">
        <w:rPr>
          <w:rFonts w:ascii="Times New Roman" w:hAnsi="Times New Roman" w:cs="Times New Roman"/>
          <w:color w:val="000000"/>
        </w:rPr>
        <w:t xml:space="preserve">understand where gender equality </w:t>
      </w:r>
      <w:r w:rsidR="006C7FDB">
        <w:rPr>
          <w:rFonts w:ascii="Times New Roman" w:hAnsi="Times New Roman" w:cs="Times New Roman"/>
          <w:color w:val="000000"/>
        </w:rPr>
        <w:t>is placed</w:t>
      </w:r>
      <w:r w:rsidR="006C7FDB" w:rsidRPr="0068442A">
        <w:rPr>
          <w:rFonts w:ascii="Times New Roman" w:hAnsi="Times New Roman" w:cs="Times New Roman"/>
          <w:color w:val="000000"/>
        </w:rPr>
        <w:t xml:space="preserve"> </w:t>
      </w:r>
      <w:r w:rsidR="00B02934" w:rsidRPr="0068442A">
        <w:rPr>
          <w:rFonts w:ascii="Times New Roman" w:hAnsi="Times New Roman" w:cs="Times New Roman"/>
          <w:color w:val="000000"/>
        </w:rPr>
        <w:t xml:space="preserve">in </w:t>
      </w:r>
      <w:r w:rsidR="00D87854" w:rsidRPr="0068442A">
        <w:rPr>
          <w:rFonts w:ascii="Times New Roman" w:hAnsi="Times New Roman" w:cs="Times New Roman"/>
          <w:color w:val="000000"/>
        </w:rPr>
        <w:t xml:space="preserve">its </w:t>
      </w:r>
      <w:r w:rsidRPr="0068442A">
        <w:rPr>
          <w:rFonts w:ascii="Times New Roman" w:hAnsi="Times New Roman" w:cs="Times New Roman"/>
          <w:color w:val="000000"/>
        </w:rPr>
        <w:t xml:space="preserve">rationale, and highlight how the </w:t>
      </w:r>
      <w:r w:rsidR="006C7FDB" w:rsidRPr="0068442A">
        <w:rPr>
          <w:rFonts w:ascii="Times New Roman" w:hAnsi="Times New Roman" w:cs="Times New Roman"/>
          <w:color w:val="000000"/>
        </w:rPr>
        <w:t xml:space="preserve">different </w:t>
      </w:r>
      <w:r w:rsidRPr="0068442A">
        <w:rPr>
          <w:rFonts w:ascii="Times New Roman" w:hAnsi="Times New Roman" w:cs="Times New Roman"/>
          <w:color w:val="000000"/>
        </w:rPr>
        <w:t>conceptual meanings of gender</w:t>
      </w:r>
      <w:r w:rsidR="00AB432B" w:rsidRPr="0068442A">
        <w:rPr>
          <w:rFonts w:ascii="Times New Roman" w:hAnsi="Times New Roman" w:cs="Times New Roman"/>
          <w:color w:val="000000"/>
        </w:rPr>
        <w:t xml:space="preserve"> equality </w:t>
      </w:r>
      <w:r w:rsidR="006C7FDB" w:rsidRPr="0068442A">
        <w:rPr>
          <w:rFonts w:ascii="Times New Roman" w:hAnsi="Times New Roman" w:cs="Times New Roman"/>
          <w:color w:val="000000"/>
        </w:rPr>
        <w:t>ha</w:t>
      </w:r>
      <w:r w:rsidR="006C7FDB">
        <w:rPr>
          <w:rFonts w:ascii="Times New Roman" w:hAnsi="Times New Roman" w:cs="Times New Roman"/>
          <w:color w:val="000000"/>
        </w:rPr>
        <w:t>ve</w:t>
      </w:r>
      <w:r w:rsidR="006C7FDB" w:rsidRPr="0068442A">
        <w:rPr>
          <w:rFonts w:ascii="Times New Roman" w:hAnsi="Times New Roman" w:cs="Times New Roman"/>
          <w:color w:val="000000"/>
        </w:rPr>
        <w:t xml:space="preserve"> </w:t>
      </w:r>
      <w:r w:rsidR="00AB432B" w:rsidRPr="0068442A">
        <w:rPr>
          <w:rFonts w:ascii="Times New Roman" w:hAnsi="Times New Roman" w:cs="Times New Roman"/>
          <w:color w:val="000000"/>
        </w:rPr>
        <w:t xml:space="preserve">a bearing on implementation. </w:t>
      </w:r>
      <w:r w:rsidR="00080750" w:rsidRPr="0068442A">
        <w:rPr>
          <w:rFonts w:ascii="Times New Roman" w:hAnsi="Times New Roman" w:cs="Times New Roman"/>
          <w:color w:val="000000"/>
        </w:rPr>
        <w:t xml:space="preserve">Drawing </w:t>
      </w:r>
      <w:r w:rsidR="007A7E4F" w:rsidRPr="0068442A">
        <w:rPr>
          <w:rFonts w:ascii="Times New Roman" w:hAnsi="Times New Roman" w:cs="Times New Roman"/>
          <w:color w:val="000000"/>
        </w:rPr>
        <w:t xml:space="preserve">particularly </w:t>
      </w:r>
      <w:r w:rsidR="00080750" w:rsidRPr="0068442A">
        <w:rPr>
          <w:rFonts w:ascii="Times New Roman" w:hAnsi="Times New Roman" w:cs="Times New Roman"/>
          <w:color w:val="000000"/>
        </w:rPr>
        <w:t>on</w:t>
      </w:r>
      <w:r w:rsidR="002F2647" w:rsidRPr="0068442A">
        <w:rPr>
          <w:rFonts w:ascii="Times New Roman" w:hAnsi="Times New Roman" w:cs="Times New Roman"/>
          <w:color w:val="000000"/>
        </w:rPr>
        <w:t xml:space="preserve"> teachers’ perspectives, </w:t>
      </w:r>
      <w:r w:rsidR="00443099" w:rsidRPr="0068442A">
        <w:rPr>
          <w:rFonts w:ascii="Times New Roman" w:hAnsi="Times New Roman" w:cs="Times New Roman"/>
          <w:color w:val="000000"/>
        </w:rPr>
        <w:t xml:space="preserve">specifically </w:t>
      </w:r>
      <w:r w:rsidR="00C675D3" w:rsidRPr="0068442A">
        <w:rPr>
          <w:rFonts w:ascii="Times New Roman" w:hAnsi="Times New Roman" w:cs="Times New Roman"/>
          <w:color w:val="000000"/>
        </w:rPr>
        <w:t xml:space="preserve">those who are </w:t>
      </w:r>
      <w:r w:rsidR="002F2647" w:rsidRPr="0068442A">
        <w:rPr>
          <w:rFonts w:ascii="Times New Roman" w:hAnsi="Times New Roman" w:cs="Times New Roman"/>
          <w:color w:val="000000"/>
        </w:rPr>
        <w:t>in Eastern Turkey</w:t>
      </w:r>
      <w:r w:rsidR="00E458F0" w:rsidRPr="0068442A">
        <w:rPr>
          <w:rFonts w:ascii="Times New Roman" w:hAnsi="Times New Roman" w:cs="Times New Roman"/>
          <w:color w:val="000000"/>
        </w:rPr>
        <w:t>,</w:t>
      </w:r>
      <w:r w:rsidR="002F2647" w:rsidRPr="0068442A">
        <w:rPr>
          <w:rFonts w:ascii="Times New Roman" w:hAnsi="Times New Roman" w:cs="Times New Roman"/>
          <w:color w:val="000000"/>
        </w:rPr>
        <w:t xml:space="preserve"> where the </w:t>
      </w:r>
      <w:r w:rsidR="00781F2C">
        <w:rPr>
          <w:rFonts w:ascii="Times New Roman" w:hAnsi="Times New Roman" w:cs="Times New Roman"/>
          <w:color w:val="000000"/>
        </w:rPr>
        <w:t>immediate</w:t>
      </w:r>
      <w:r w:rsidR="00781F2C" w:rsidRPr="0068442A">
        <w:rPr>
          <w:rFonts w:ascii="Times New Roman" w:hAnsi="Times New Roman" w:cs="Times New Roman"/>
          <w:color w:val="000000"/>
        </w:rPr>
        <w:t xml:space="preserve"> </w:t>
      </w:r>
      <w:r w:rsidR="002F2647" w:rsidRPr="0068442A">
        <w:rPr>
          <w:rFonts w:ascii="Times New Roman" w:hAnsi="Times New Roman" w:cs="Times New Roman"/>
          <w:color w:val="000000"/>
        </w:rPr>
        <w:t>effects of such policies on girls</w:t>
      </w:r>
      <w:r w:rsidR="00B02934" w:rsidRPr="0068442A">
        <w:rPr>
          <w:rFonts w:ascii="Times New Roman" w:hAnsi="Times New Roman" w:cs="Times New Roman"/>
          <w:color w:val="000000"/>
        </w:rPr>
        <w:t>’</w:t>
      </w:r>
      <w:r w:rsidR="002F2647" w:rsidRPr="0068442A">
        <w:rPr>
          <w:rFonts w:ascii="Times New Roman" w:hAnsi="Times New Roman" w:cs="Times New Roman"/>
          <w:color w:val="000000"/>
        </w:rPr>
        <w:t xml:space="preserve"> </w:t>
      </w:r>
      <w:r w:rsidR="00984D37" w:rsidRPr="0068442A">
        <w:rPr>
          <w:rFonts w:ascii="Times New Roman" w:hAnsi="Times New Roman" w:cs="Times New Roman"/>
          <w:color w:val="000000"/>
        </w:rPr>
        <w:t xml:space="preserve">education </w:t>
      </w:r>
      <w:r w:rsidR="00781F2C" w:rsidRPr="0068442A">
        <w:rPr>
          <w:rFonts w:ascii="Times New Roman" w:hAnsi="Times New Roman" w:cs="Times New Roman"/>
          <w:color w:val="000000"/>
        </w:rPr>
        <w:t xml:space="preserve">are easier to see </w:t>
      </w:r>
      <w:r w:rsidR="00781F2C">
        <w:rPr>
          <w:rFonts w:ascii="Times New Roman" w:hAnsi="Times New Roman" w:cs="Times New Roman"/>
          <w:color w:val="000000"/>
        </w:rPr>
        <w:t>due to</w:t>
      </w:r>
      <w:r w:rsidR="00781F2C" w:rsidRPr="0068442A">
        <w:rPr>
          <w:rFonts w:ascii="Times New Roman" w:hAnsi="Times New Roman" w:cs="Times New Roman"/>
          <w:color w:val="000000"/>
        </w:rPr>
        <w:t xml:space="preserve"> </w:t>
      </w:r>
      <w:r w:rsidR="002F2647" w:rsidRPr="0068442A">
        <w:rPr>
          <w:rFonts w:ascii="Times New Roman" w:hAnsi="Times New Roman" w:cs="Times New Roman"/>
          <w:color w:val="000000"/>
        </w:rPr>
        <w:t>the patriarchal nature of the society and communities</w:t>
      </w:r>
      <w:r w:rsidR="00080750" w:rsidRPr="0068442A">
        <w:rPr>
          <w:rFonts w:ascii="Times New Roman" w:hAnsi="Times New Roman" w:cs="Times New Roman"/>
          <w:color w:val="000000"/>
        </w:rPr>
        <w:t xml:space="preserve">, we </w:t>
      </w:r>
      <w:r w:rsidR="00984D37" w:rsidRPr="0068442A">
        <w:rPr>
          <w:rFonts w:ascii="Times New Roman" w:hAnsi="Times New Roman" w:cs="Times New Roman"/>
          <w:color w:val="000000"/>
        </w:rPr>
        <w:t>look into</w:t>
      </w:r>
      <w:r w:rsidR="00C675D3" w:rsidRPr="0068442A">
        <w:rPr>
          <w:rFonts w:ascii="Times New Roman" w:hAnsi="Times New Roman" w:cs="Times New Roman"/>
          <w:color w:val="000000"/>
        </w:rPr>
        <w:t xml:space="preserve"> the qualitative implications of the</w:t>
      </w:r>
      <w:r w:rsidR="00984D37" w:rsidRPr="0068442A">
        <w:rPr>
          <w:rFonts w:ascii="Times New Roman" w:hAnsi="Times New Roman" w:cs="Times New Roman"/>
          <w:color w:val="000000"/>
        </w:rPr>
        <w:t xml:space="preserve"> reform</w:t>
      </w:r>
      <w:r w:rsidR="00C675D3" w:rsidRPr="0068442A">
        <w:rPr>
          <w:rFonts w:ascii="Times New Roman" w:hAnsi="Times New Roman" w:cs="Times New Roman"/>
          <w:color w:val="000000"/>
        </w:rPr>
        <w:t>s</w:t>
      </w:r>
      <w:r w:rsidR="002F2647" w:rsidRPr="0068442A">
        <w:rPr>
          <w:rFonts w:ascii="Times New Roman" w:hAnsi="Times New Roman" w:cs="Times New Roman"/>
          <w:color w:val="000000"/>
        </w:rPr>
        <w:t xml:space="preserve"> </w:t>
      </w:r>
      <w:r w:rsidR="00C675D3" w:rsidRPr="0068442A">
        <w:rPr>
          <w:rFonts w:ascii="Times New Roman" w:hAnsi="Times New Roman" w:cs="Times New Roman"/>
          <w:color w:val="000000"/>
        </w:rPr>
        <w:t>on gender equality and</w:t>
      </w:r>
      <w:r w:rsidR="002F2647" w:rsidRPr="0068442A">
        <w:rPr>
          <w:rFonts w:ascii="Times New Roman" w:hAnsi="Times New Roman" w:cs="Times New Roman"/>
          <w:color w:val="000000"/>
        </w:rPr>
        <w:t xml:space="preserve"> girls’ schooling</w:t>
      </w:r>
      <w:r w:rsidR="005344EA" w:rsidRPr="0068442A">
        <w:rPr>
          <w:rFonts w:ascii="Times New Roman" w:hAnsi="Times New Roman" w:cs="Times New Roman"/>
          <w:color w:val="000000"/>
        </w:rPr>
        <w:t xml:space="preserve">. </w:t>
      </w:r>
    </w:p>
    <w:p w14:paraId="73DA48A0" w14:textId="77777777" w:rsidR="00BE0E71" w:rsidRPr="0068442A" w:rsidRDefault="00BE0E71" w:rsidP="00BF1E10">
      <w:pPr>
        <w:autoSpaceDE w:val="0"/>
        <w:autoSpaceDN w:val="0"/>
        <w:adjustRightInd w:val="0"/>
        <w:spacing w:after="0" w:line="360" w:lineRule="auto"/>
        <w:jc w:val="both"/>
        <w:rPr>
          <w:rFonts w:ascii="Times New Roman" w:hAnsi="Times New Roman" w:cs="Times New Roman"/>
        </w:rPr>
      </w:pPr>
    </w:p>
    <w:p w14:paraId="6E548961" w14:textId="1A49AD58" w:rsidR="00E2762D" w:rsidRPr="0068442A" w:rsidRDefault="00E2762D" w:rsidP="00BF1E10">
      <w:pPr>
        <w:autoSpaceDE w:val="0"/>
        <w:autoSpaceDN w:val="0"/>
        <w:adjustRightInd w:val="0"/>
        <w:spacing w:after="0" w:line="360" w:lineRule="auto"/>
        <w:jc w:val="both"/>
        <w:rPr>
          <w:rFonts w:ascii="Times New Roman" w:hAnsi="Times New Roman" w:cs="Times New Roman"/>
          <w:b/>
        </w:rPr>
      </w:pPr>
      <w:r w:rsidRPr="0068442A">
        <w:rPr>
          <w:rFonts w:ascii="Times New Roman" w:hAnsi="Times New Roman" w:cs="Times New Roman"/>
          <w:b/>
        </w:rPr>
        <w:t>Method</w:t>
      </w:r>
      <w:r w:rsidR="00A30A60" w:rsidRPr="0068442A">
        <w:rPr>
          <w:rFonts w:ascii="Times New Roman" w:hAnsi="Times New Roman" w:cs="Times New Roman"/>
          <w:b/>
        </w:rPr>
        <w:t xml:space="preserve">s </w:t>
      </w:r>
    </w:p>
    <w:p w14:paraId="16585AC6" w14:textId="02306908" w:rsidR="00631AFC" w:rsidRPr="0068442A" w:rsidRDefault="00877997" w:rsidP="00877997">
      <w:pPr>
        <w:autoSpaceDE w:val="0"/>
        <w:autoSpaceDN w:val="0"/>
        <w:adjustRightInd w:val="0"/>
        <w:spacing w:after="0" w:line="360" w:lineRule="auto"/>
        <w:jc w:val="both"/>
        <w:rPr>
          <w:rFonts w:ascii="Times New Roman" w:hAnsi="Times New Roman" w:cs="Times New Roman"/>
        </w:rPr>
      </w:pPr>
      <w:r w:rsidRPr="0068442A">
        <w:rPr>
          <w:rFonts w:ascii="Times New Roman" w:hAnsi="Times New Roman" w:cs="Times New Roman"/>
        </w:rPr>
        <w:t>We conducted t</w:t>
      </w:r>
      <w:r w:rsidR="008C6FFF" w:rsidRPr="0068442A">
        <w:rPr>
          <w:rFonts w:ascii="Times New Roman" w:hAnsi="Times New Roman" w:cs="Times New Roman"/>
        </w:rPr>
        <w:t>wo s</w:t>
      </w:r>
      <w:r w:rsidRPr="0068442A">
        <w:rPr>
          <w:rFonts w:ascii="Times New Roman" w:hAnsi="Times New Roman" w:cs="Times New Roman"/>
        </w:rPr>
        <w:t>ets of 16 interviews in total for this research</w:t>
      </w:r>
      <w:r w:rsidR="008C6FFF" w:rsidRPr="0068442A">
        <w:rPr>
          <w:rFonts w:ascii="Times New Roman" w:hAnsi="Times New Roman" w:cs="Times New Roman"/>
        </w:rPr>
        <w:t>: the first with</w:t>
      </w:r>
      <w:r w:rsidR="006D6393" w:rsidRPr="0068442A">
        <w:rPr>
          <w:rFonts w:ascii="Times New Roman" w:hAnsi="Times New Roman" w:cs="Times New Roman"/>
        </w:rPr>
        <w:t xml:space="preserve"> 8</w:t>
      </w:r>
      <w:r w:rsidR="008C6FFF" w:rsidRPr="0068442A">
        <w:rPr>
          <w:rFonts w:ascii="Times New Roman" w:hAnsi="Times New Roman" w:cs="Times New Roman"/>
        </w:rPr>
        <w:t xml:space="preserve"> teachers</w:t>
      </w:r>
      <w:r w:rsidR="002A1573" w:rsidRPr="0068442A">
        <w:rPr>
          <w:rFonts w:ascii="Times New Roman" w:hAnsi="Times New Roman" w:cs="Times New Roman"/>
        </w:rPr>
        <w:t>,</w:t>
      </w:r>
      <w:r w:rsidR="00341D06" w:rsidRPr="0068442A">
        <w:rPr>
          <w:rFonts w:ascii="Times New Roman" w:hAnsi="Times New Roman" w:cs="Times New Roman"/>
        </w:rPr>
        <w:t xml:space="preserve"> and the second with 8</w:t>
      </w:r>
      <w:r w:rsidR="008C6FFF" w:rsidRPr="0068442A">
        <w:rPr>
          <w:rFonts w:ascii="Times New Roman" w:hAnsi="Times New Roman" w:cs="Times New Roman"/>
        </w:rPr>
        <w:t xml:space="preserve"> stakeholders affecting the policy</w:t>
      </w:r>
      <w:r w:rsidR="00676332" w:rsidRPr="0068442A">
        <w:rPr>
          <w:rFonts w:ascii="Times New Roman" w:hAnsi="Times New Roman" w:cs="Times New Roman"/>
        </w:rPr>
        <w:t>-</w:t>
      </w:r>
      <w:r w:rsidR="008C6FFF" w:rsidRPr="0068442A">
        <w:rPr>
          <w:rFonts w:ascii="Times New Roman" w:hAnsi="Times New Roman" w:cs="Times New Roman"/>
        </w:rPr>
        <w:t>making process, such as trade unions and journalists.</w:t>
      </w:r>
      <w:r w:rsidRPr="0068442A">
        <w:rPr>
          <w:rFonts w:ascii="Times New Roman" w:hAnsi="Times New Roman" w:cs="Times New Roman"/>
        </w:rPr>
        <w:t xml:space="preserve"> </w:t>
      </w:r>
      <w:r w:rsidR="00341D06" w:rsidRPr="0068442A">
        <w:rPr>
          <w:rFonts w:ascii="Times New Roman" w:hAnsi="Times New Roman" w:cs="Times New Roman"/>
        </w:rPr>
        <w:t>The teachers were working in religious</w:t>
      </w:r>
      <w:r w:rsidR="008C6FFF" w:rsidRPr="0068442A">
        <w:rPr>
          <w:rFonts w:ascii="Times New Roman" w:hAnsi="Times New Roman" w:cs="Times New Roman"/>
        </w:rPr>
        <w:t>, primary</w:t>
      </w:r>
      <w:r w:rsidR="00341D06" w:rsidRPr="0068442A">
        <w:rPr>
          <w:rFonts w:ascii="Times New Roman" w:hAnsi="Times New Roman" w:cs="Times New Roman"/>
        </w:rPr>
        <w:t>, or secondary schools</w:t>
      </w:r>
      <w:r w:rsidR="00FF571D">
        <w:rPr>
          <w:rFonts w:ascii="Times New Roman" w:hAnsi="Times New Roman" w:cs="Times New Roman"/>
        </w:rPr>
        <w:t>,</w:t>
      </w:r>
      <w:r w:rsidR="00341D06" w:rsidRPr="0068442A">
        <w:rPr>
          <w:rFonts w:ascii="Times New Roman" w:hAnsi="Times New Roman" w:cs="Times New Roman"/>
        </w:rPr>
        <w:t xml:space="preserve"> </w:t>
      </w:r>
      <w:r w:rsidR="00FF571D">
        <w:rPr>
          <w:rFonts w:ascii="Times New Roman" w:hAnsi="Times New Roman" w:cs="Times New Roman"/>
        </w:rPr>
        <w:t xml:space="preserve">and </w:t>
      </w:r>
      <w:r w:rsidR="00341D06" w:rsidRPr="0068442A">
        <w:rPr>
          <w:rFonts w:ascii="Times New Roman" w:hAnsi="Times New Roman" w:cs="Times New Roman"/>
        </w:rPr>
        <w:t xml:space="preserve">three of them </w:t>
      </w:r>
      <w:r w:rsidR="00FF571D">
        <w:rPr>
          <w:rFonts w:ascii="Times New Roman" w:hAnsi="Times New Roman" w:cs="Times New Roman"/>
        </w:rPr>
        <w:t xml:space="preserve">held </w:t>
      </w:r>
      <w:r w:rsidR="00341D06" w:rsidRPr="0068442A">
        <w:rPr>
          <w:rFonts w:ascii="Times New Roman" w:hAnsi="Times New Roman" w:cs="Times New Roman"/>
        </w:rPr>
        <w:t>positions</w:t>
      </w:r>
      <w:r w:rsidR="008C6FFF" w:rsidRPr="0068442A">
        <w:rPr>
          <w:rFonts w:ascii="Times New Roman" w:hAnsi="Times New Roman" w:cs="Times New Roman"/>
        </w:rPr>
        <w:t xml:space="preserve"> as either principal or vice principal. </w:t>
      </w:r>
      <w:r w:rsidR="00FF571D">
        <w:rPr>
          <w:rFonts w:ascii="Times New Roman" w:hAnsi="Times New Roman" w:cs="Times New Roman"/>
        </w:rPr>
        <w:t>A</w:t>
      </w:r>
      <w:r w:rsidR="00FF571D" w:rsidRPr="0068442A">
        <w:rPr>
          <w:rFonts w:ascii="Times New Roman" w:hAnsi="Times New Roman" w:cs="Times New Roman"/>
        </w:rPr>
        <w:t xml:space="preserve">ll </w:t>
      </w:r>
      <w:r w:rsidR="00FF571D">
        <w:rPr>
          <w:rFonts w:ascii="Times New Roman" w:hAnsi="Times New Roman" w:cs="Times New Roman"/>
        </w:rPr>
        <w:t xml:space="preserve">the </w:t>
      </w:r>
      <w:r w:rsidR="00FF571D" w:rsidRPr="0068442A">
        <w:rPr>
          <w:rFonts w:ascii="Times New Roman" w:hAnsi="Times New Roman" w:cs="Times New Roman"/>
        </w:rPr>
        <w:t>official permissions were obtained from the Ministry of National Education</w:t>
      </w:r>
      <w:r w:rsidR="00FF571D" w:rsidRPr="0068442A" w:rsidDel="00FF571D">
        <w:rPr>
          <w:rFonts w:ascii="Times New Roman" w:hAnsi="Times New Roman" w:cs="Times New Roman"/>
        </w:rPr>
        <w:t xml:space="preserve"> </w:t>
      </w:r>
      <w:r w:rsidR="00FF571D">
        <w:rPr>
          <w:rFonts w:ascii="Times New Roman" w:hAnsi="Times New Roman" w:cs="Times New Roman"/>
        </w:rPr>
        <w:t>b</w:t>
      </w:r>
      <w:r w:rsidR="008C6FFF" w:rsidRPr="0068442A">
        <w:rPr>
          <w:rFonts w:ascii="Times New Roman" w:hAnsi="Times New Roman" w:cs="Times New Roman"/>
        </w:rPr>
        <w:t xml:space="preserve">efore commencing the data collection, </w:t>
      </w:r>
      <w:r w:rsidR="00FF571D">
        <w:rPr>
          <w:rFonts w:ascii="Times New Roman" w:hAnsi="Times New Roman" w:cs="Times New Roman"/>
        </w:rPr>
        <w:t>which took place</w:t>
      </w:r>
      <w:r w:rsidR="008C6FFF" w:rsidRPr="0068442A">
        <w:rPr>
          <w:rFonts w:ascii="Times New Roman" w:hAnsi="Times New Roman" w:cs="Times New Roman"/>
        </w:rPr>
        <w:t xml:space="preserve"> in the Eastern Anatolian city </w:t>
      </w:r>
      <w:r w:rsidR="00AE3FFB" w:rsidRPr="0068442A">
        <w:rPr>
          <w:rFonts w:ascii="Times New Roman" w:hAnsi="Times New Roman" w:cs="Times New Roman"/>
        </w:rPr>
        <w:t xml:space="preserve">of </w:t>
      </w:r>
      <w:r w:rsidR="008C6FFF" w:rsidRPr="0068442A">
        <w:rPr>
          <w:rFonts w:ascii="Times New Roman" w:hAnsi="Times New Roman" w:cs="Times New Roman"/>
        </w:rPr>
        <w:t>Van during the 2016</w:t>
      </w:r>
      <w:r w:rsidR="00AE3FFB" w:rsidRPr="0068442A">
        <w:rPr>
          <w:rFonts w:ascii="Times New Roman" w:hAnsi="Times New Roman" w:cs="Times New Roman"/>
        </w:rPr>
        <w:t>–</w:t>
      </w:r>
      <w:r w:rsidR="008C6FFF" w:rsidRPr="0068442A">
        <w:rPr>
          <w:rFonts w:ascii="Times New Roman" w:hAnsi="Times New Roman" w:cs="Times New Roman"/>
        </w:rPr>
        <w:t>17 academic year</w:t>
      </w:r>
      <w:r w:rsidRPr="0068442A">
        <w:rPr>
          <w:rFonts w:ascii="Times New Roman" w:hAnsi="Times New Roman" w:cs="Times New Roman"/>
        </w:rPr>
        <w:t xml:space="preserve">. </w:t>
      </w:r>
      <w:r w:rsidR="00814B99" w:rsidRPr="0068442A">
        <w:rPr>
          <w:rFonts w:ascii="Times New Roman" w:hAnsi="Times New Roman" w:cs="Times New Roman"/>
          <w:color w:val="000000"/>
        </w:rPr>
        <w:t>The i</w:t>
      </w:r>
      <w:r w:rsidR="008C6FFF" w:rsidRPr="0068442A">
        <w:rPr>
          <w:rFonts w:ascii="Times New Roman" w:hAnsi="Times New Roman" w:cs="Times New Roman"/>
          <w:color w:val="000000"/>
        </w:rPr>
        <w:t xml:space="preserve">nterviews </w:t>
      </w:r>
      <w:r w:rsidRPr="0068442A">
        <w:rPr>
          <w:rFonts w:ascii="Times New Roman" w:hAnsi="Times New Roman" w:cs="Times New Roman"/>
          <w:color w:val="000000"/>
        </w:rPr>
        <w:t>with teachers aimed</w:t>
      </w:r>
      <w:r w:rsidR="00341D06" w:rsidRPr="0068442A">
        <w:rPr>
          <w:rFonts w:ascii="Times New Roman" w:hAnsi="Times New Roman" w:cs="Times New Roman"/>
          <w:color w:val="000000"/>
        </w:rPr>
        <w:t xml:space="preserve"> </w:t>
      </w:r>
      <w:r w:rsidR="002A2A35">
        <w:rPr>
          <w:rFonts w:ascii="Times New Roman" w:hAnsi="Times New Roman" w:cs="Times New Roman"/>
          <w:color w:val="000000"/>
        </w:rPr>
        <w:t xml:space="preserve">to ascertain </w:t>
      </w:r>
      <w:r w:rsidR="00341D06" w:rsidRPr="0068442A">
        <w:rPr>
          <w:rFonts w:ascii="Times New Roman" w:hAnsi="Times New Roman" w:cs="Times New Roman"/>
          <w:color w:val="000000"/>
        </w:rPr>
        <w:t>the educational</w:t>
      </w:r>
      <w:r w:rsidR="008C6FFF" w:rsidRPr="0068442A">
        <w:rPr>
          <w:rFonts w:ascii="Times New Roman" w:hAnsi="Times New Roman" w:cs="Times New Roman"/>
          <w:color w:val="000000"/>
        </w:rPr>
        <w:t xml:space="preserve"> opportunities and freedoms</w:t>
      </w:r>
      <w:r w:rsidR="00341D06" w:rsidRPr="0068442A">
        <w:rPr>
          <w:rFonts w:ascii="Times New Roman" w:hAnsi="Times New Roman" w:cs="Times New Roman"/>
          <w:color w:val="000000"/>
        </w:rPr>
        <w:t xml:space="preserve"> and the impacts of the new reform on students</w:t>
      </w:r>
      <w:r w:rsidR="008C6FFF" w:rsidRPr="0068442A">
        <w:rPr>
          <w:rFonts w:ascii="Times New Roman" w:hAnsi="Times New Roman" w:cs="Times New Roman"/>
          <w:color w:val="000000"/>
        </w:rPr>
        <w:t xml:space="preserve">, </w:t>
      </w:r>
      <w:r w:rsidR="006E1E85" w:rsidRPr="0068442A">
        <w:rPr>
          <w:rFonts w:ascii="Times New Roman" w:hAnsi="Times New Roman" w:cs="Times New Roman"/>
          <w:color w:val="000000"/>
        </w:rPr>
        <w:t xml:space="preserve">along with </w:t>
      </w:r>
      <w:r w:rsidR="008C6FFF" w:rsidRPr="0068442A">
        <w:rPr>
          <w:rFonts w:ascii="Times New Roman" w:hAnsi="Times New Roman" w:cs="Times New Roman"/>
          <w:color w:val="000000"/>
        </w:rPr>
        <w:t xml:space="preserve">other gender related issues that </w:t>
      </w:r>
      <w:r w:rsidR="00861616" w:rsidRPr="0068442A">
        <w:rPr>
          <w:rFonts w:ascii="Times New Roman" w:hAnsi="Times New Roman" w:cs="Times New Roman"/>
          <w:color w:val="000000"/>
        </w:rPr>
        <w:t xml:space="preserve">the </w:t>
      </w:r>
      <w:r w:rsidR="008C6FFF" w:rsidRPr="0068442A">
        <w:rPr>
          <w:rFonts w:ascii="Times New Roman" w:hAnsi="Times New Roman" w:cs="Times New Roman"/>
          <w:color w:val="000000"/>
        </w:rPr>
        <w:t xml:space="preserve">girls </w:t>
      </w:r>
      <w:r w:rsidR="00861616" w:rsidRPr="0068442A">
        <w:rPr>
          <w:rFonts w:ascii="Times New Roman" w:hAnsi="Times New Roman" w:cs="Times New Roman"/>
          <w:color w:val="000000"/>
        </w:rPr>
        <w:t xml:space="preserve">themselves </w:t>
      </w:r>
      <w:r w:rsidR="008C6FFF" w:rsidRPr="0068442A">
        <w:rPr>
          <w:rFonts w:ascii="Times New Roman" w:hAnsi="Times New Roman" w:cs="Times New Roman"/>
          <w:color w:val="000000"/>
        </w:rPr>
        <w:t xml:space="preserve">may not have been able to identify had </w:t>
      </w:r>
      <w:r w:rsidR="00861616" w:rsidRPr="0068442A">
        <w:rPr>
          <w:rFonts w:ascii="Times New Roman" w:hAnsi="Times New Roman" w:cs="Times New Roman"/>
          <w:color w:val="000000"/>
        </w:rPr>
        <w:t xml:space="preserve">we </w:t>
      </w:r>
      <w:r w:rsidR="008C6FFF" w:rsidRPr="0068442A">
        <w:rPr>
          <w:rFonts w:ascii="Times New Roman" w:hAnsi="Times New Roman" w:cs="Times New Roman"/>
          <w:color w:val="000000"/>
        </w:rPr>
        <w:t xml:space="preserve">conducted these interviews with </w:t>
      </w:r>
      <w:r w:rsidR="00861616" w:rsidRPr="0068442A">
        <w:rPr>
          <w:rFonts w:ascii="Times New Roman" w:hAnsi="Times New Roman" w:cs="Times New Roman"/>
          <w:color w:val="000000"/>
        </w:rPr>
        <w:t>them directly</w:t>
      </w:r>
      <w:r w:rsidRPr="0068442A">
        <w:rPr>
          <w:rFonts w:ascii="Times New Roman" w:hAnsi="Times New Roman" w:cs="Times New Roman"/>
          <w:color w:val="000000"/>
        </w:rPr>
        <w:t>. Therefore, we used purposeful sampling of recruiting</w:t>
      </w:r>
      <w:r w:rsidR="008C6FFF" w:rsidRPr="0068442A">
        <w:rPr>
          <w:rFonts w:ascii="Times New Roman" w:hAnsi="Times New Roman" w:cs="Times New Roman"/>
          <w:color w:val="000000"/>
        </w:rPr>
        <w:t xml:space="preserve"> teachers who had been working in the same school or region for at least 7 years so that they could reflect upon the changes and their experiences with girls </w:t>
      </w:r>
      <w:r w:rsidR="002A2A35">
        <w:rPr>
          <w:rFonts w:ascii="Times New Roman" w:hAnsi="Times New Roman" w:cs="Times New Roman"/>
          <w:color w:val="000000"/>
        </w:rPr>
        <w:t xml:space="preserve">in the time </w:t>
      </w:r>
      <w:r w:rsidR="000D5DC8" w:rsidRPr="0068442A">
        <w:rPr>
          <w:rFonts w:ascii="Times New Roman" w:hAnsi="Times New Roman" w:cs="Times New Roman"/>
          <w:color w:val="000000"/>
        </w:rPr>
        <w:t xml:space="preserve">since </w:t>
      </w:r>
      <w:r w:rsidR="008C6FFF" w:rsidRPr="0068442A">
        <w:rPr>
          <w:rFonts w:ascii="Times New Roman" w:hAnsi="Times New Roman" w:cs="Times New Roman"/>
          <w:color w:val="000000"/>
        </w:rPr>
        <w:t xml:space="preserve">the reform </w:t>
      </w:r>
      <w:r w:rsidR="000D5DC8" w:rsidRPr="0068442A">
        <w:rPr>
          <w:rFonts w:ascii="Times New Roman" w:hAnsi="Times New Roman" w:cs="Times New Roman"/>
          <w:color w:val="000000"/>
        </w:rPr>
        <w:t xml:space="preserve">was </w:t>
      </w:r>
      <w:r w:rsidR="008C6FFF" w:rsidRPr="0068442A">
        <w:rPr>
          <w:rFonts w:ascii="Times New Roman" w:hAnsi="Times New Roman" w:cs="Times New Roman"/>
          <w:color w:val="000000"/>
        </w:rPr>
        <w:t>passed</w:t>
      </w:r>
      <w:r w:rsidR="002A2A35">
        <w:rPr>
          <w:rFonts w:ascii="Times New Roman" w:hAnsi="Times New Roman" w:cs="Times New Roman"/>
          <w:color w:val="000000"/>
        </w:rPr>
        <w:t>,</w:t>
      </w:r>
      <w:r w:rsidR="008C6FFF" w:rsidRPr="0068442A">
        <w:rPr>
          <w:rFonts w:ascii="Times New Roman" w:hAnsi="Times New Roman" w:cs="Times New Roman"/>
          <w:color w:val="000000"/>
        </w:rPr>
        <w:t xml:space="preserve"> in 2012.</w:t>
      </w:r>
      <w:r w:rsidR="00631AFC" w:rsidRPr="0068442A">
        <w:rPr>
          <w:rFonts w:ascii="Times New Roman" w:hAnsi="Times New Roman" w:cs="Times New Roman"/>
        </w:rPr>
        <w:t xml:space="preserve"> T</w:t>
      </w:r>
      <w:r w:rsidR="00237478" w:rsidRPr="0068442A">
        <w:rPr>
          <w:rFonts w:ascii="Times New Roman" w:hAnsi="Times New Roman" w:cs="Times New Roman"/>
        </w:rPr>
        <w:t xml:space="preserve">he </w:t>
      </w:r>
      <w:r w:rsidRPr="0068442A">
        <w:rPr>
          <w:rFonts w:ascii="Times New Roman" w:hAnsi="Times New Roman" w:cs="Times New Roman"/>
        </w:rPr>
        <w:t xml:space="preserve">interviews </w:t>
      </w:r>
      <w:r w:rsidR="00237478" w:rsidRPr="0068442A">
        <w:rPr>
          <w:rFonts w:ascii="Times New Roman" w:hAnsi="Times New Roman" w:cs="Times New Roman"/>
        </w:rPr>
        <w:t xml:space="preserve">lasted for </w:t>
      </w:r>
      <w:r w:rsidR="00631AFC" w:rsidRPr="0068442A">
        <w:rPr>
          <w:rFonts w:ascii="Times New Roman" w:hAnsi="Times New Roman" w:cs="Times New Roman"/>
        </w:rPr>
        <w:t>approximately 40</w:t>
      </w:r>
      <w:r w:rsidR="00237478" w:rsidRPr="0068442A">
        <w:rPr>
          <w:rFonts w:ascii="Times New Roman" w:hAnsi="Times New Roman" w:cs="Times New Roman"/>
        </w:rPr>
        <w:t>–</w:t>
      </w:r>
      <w:r w:rsidR="00631AFC" w:rsidRPr="0068442A">
        <w:rPr>
          <w:rFonts w:ascii="Times New Roman" w:hAnsi="Times New Roman" w:cs="Times New Roman"/>
        </w:rPr>
        <w:t xml:space="preserve">50 </w:t>
      </w:r>
      <w:r w:rsidRPr="0068442A">
        <w:rPr>
          <w:rFonts w:ascii="Times New Roman" w:hAnsi="Times New Roman" w:cs="Times New Roman"/>
        </w:rPr>
        <w:t>minutes</w:t>
      </w:r>
      <w:r w:rsidR="002A2A35">
        <w:rPr>
          <w:rFonts w:ascii="Times New Roman" w:hAnsi="Times New Roman" w:cs="Times New Roman"/>
        </w:rPr>
        <w:t>.</w:t>
      </w:r>
      <w:r w:rsidRPr="0068442A">
        <w:rPr>
          <w:rFonts w:ascii="Times New Roman" w:hAnsi="Times New Roman" w:cs="Times New Roman"/>
        </w:rPr>
        <w:t xml:space="preserve"> </w:t>
      </w:r>
      <w:r w:rsidR="002A2A35">
        <w:rPr>
          <w:rFonts w:ascii="Times New Roman" w:hAnsi="Times New Roman" w:cs="Times New Roman"/>
        </w:rPr>
        <w:t>N</w:t>
      </w:r>
      <w:r w:rsidR="00631AFC" w:rsidRPr="0068442A">
        <w:rPr>
          <w:rFonts w:ascii="Times New Roman" w:hAnsi="Times New Roman" w:cs="Times New Roman"/>
        </w:rPr>
        <w:t xml:space="preserve">one of the participants allowed </w:t>
      </w:r>
      <w:r w:rsidR="0012015E" w:rsidRPr="0068442A">
        <w:rPr>
          <w:rFonts w:ascii="Times New Roman" w:hAnsi="Times New Roman" w:cs="Times New Roman"/>
        </w:rPr>
        <w:t xml:space="preserve">the </w:t>
      </w:r>
      <w:r w:rsidR="00631AFC" w:rsidRPr="0068442A">
        <w:rPr>
          <w:rFonts w:ascii="Times New Roman" w:hAnsi="Times New Roman" w:cs="Times New Roman"/>
        </w:rPr>
        <w:t xml:space="preserve">researchers to </w:t>
      </w:r>
      <w:r w:rsidR="00065F62" w:rsidRPr="0068442A">
        <w:rPr>
          <w:rFonts w:ascii="Times New Roman" w:hAnsi="Times New Roman" w:cs="Times New Roman"/>
        </w:rPr>
        <w:t xml:space="preserve">make an </w:t>
      </w:r>
      <w:r w:rsidR="00631AFC" w:rsidRPr="0068442A">
        <w:rPr>
          <w:rFonts w:ascii="Times New Roman" w:hAnsi="Times New Roman" w:cs="Times New Roman"/>
        </w:rPr>
        <w:t>audio record</w:t>
      </w:r>
      <w:r w:rsidR="00065F62" w:rsidRPr="0068442A">
        <w:rPr>
          <w:rFonts w:ascii="Times New Roman" w:hAnsi="Times New Roman" w:cs="Times New Roman"/>
        </w:rPr>
        <w:t>ing of the</w:t>
      </w:r>
      <w:r w:rsidR="00631AFC" w:rsidRPr="0068442A">
        <w:rPr>
          <w:rFonts w:ascii="Times New Roman" w:hAnsi="Times New Roman" w:cs="Times New Roman"/>
        </w:rPr>
        <w:t xml:space="preserve"> interviews due to </w:t>
      </w:r>
      <w:r w:rsidR="002A2A35">
        <w:rPr>
          <w:rFonts w:ascii="Times New Roman" w:hAnsi="Times New Roman" w:cs="Times New Roman"/>
        </w:rPr>
        <w:t xml:space="preserve">the </w:t>
      </w:r>
      <w:r w:rsidR="00631AFC" w:rsidRPr="0068442A">
        <w:rPr>
          <w:rFonts w:ascii="Times New Roman" w:hAnsi="Times New Roman" w:cs="Times New Roman"/>
        </w:rPr>
        <w:t xml:space="preserve">state of emergency </w:t>
      </w:r>
      <w:r w:rsidR="002A2A35">
        <w:rPr>
          <w:rFonts w:ascii="Times New Roman" w:hAnsi="Times New Roman" w:cs="Times New Roman"/>
        </w:rPr>
        <w:t>currently in force</w:t>
      </w:r>
      <w:r w:rsidR="002A2A35" w:rsidRPr="0068442A">
        <w:rPr>
          <w:rFonts w:ascii="Times New Roman" w:hAnsi="Times New Roman" w:cs="Times New Roman"/>
        </w:rPr>
        <w:t xml:space="preserve"> </w:t>
      </w:r>
      <w:r w:rsidR="00631AFC" w:rsidRPr="0068442A">
        <w:rPr>
          <w:rFonts w:ascii="Times New Roman" w:hAnsi="Times New Roman" w:cs="Times New Roman"/>
        </w:rPr>
        <w:t>in Turkey</w:t>
      </w:r>
      <w:r w:rsidR="0012015E" w:rsidRPr="0068442A">
        <w:rPr>
          <w:rFonts w:ascii="Times New Roman" w:hAnsi="Times New Roman" w:cs="Times New Roman"/>
        </w:rPr>
        <w:t>.</w:t>
      </w:r>
      <w:r w:rsidR="008C6FFF" w:rsidRPr="0068442A">
        <w:rPr>
          <w:rFonts w:ascii="Times New Roman" w:hAnsi="Times New Roman" w:cs="Times New Roman"/>
          <w:color w:val="000000"/>
        </w:rPr>
        <w:t xml:space="preserve"> </w:t>
      </w:r>
      <w:r w:rsidR="00631AFC" w:rsidRPr="0068442A">
        <w:rPr>
          <w:rFonts w:ascii="Times New Roman" w:hAnsi="Times New Roman" w:cs="Times New Roman"/>
        </w:rPr>
        <w:t>The profile</w:t>
      </w:r>
      <w:r w:rsidR="00065F62" w:rsidRPr="0068442A">
        <w:rPr>
          <w:rFonts w:ascii="Times New Roman" w:hAnsi="Times New Roman" w:cs="Times New Roman"/>
        </w:rPr>
        <w:t>s</w:t>
      </w:r>
      <w:r w:rsidR="00631AFC" w:rsidRPr="0068442A">
        <w:rPr>
          <w:rFonts w:ascii="Times New Roman" w:hAnsi="Times New Roman" w:cs="Times New Roman"/>
        </w:rPr>
        <w:t xml:space="preserve"> of t</w:t>
      </w:r>
      <w:r w:rsidR="00065F62" w:rsidRPr="0068442A">
        <w:rPr>
          <w:rFonts w:ascii="Times New Roman" w:hAnsi="Times New Roman" w:cs="Times New Roman"/>
        </w:rPr>
        <w:t>he t</w:t>
      </w:r>
      <w:r w:rsidR="00631AFC" w:rsidRPr="0068442A">
        <w:rPr>
          <w:rFonts w:ascii="Times New Roman" w:hAnsi="Times New Roman" w:cs="Times New Roman"/>
        </w:rPr>
        <w:t xml:space="preserve">eachers are presented in </w:t>
      </w:r>
      <w:r w:rsidR="002A2A35">
        <w:rPr>
          <w:rFonts w:ascii="Times New Roman" w:hAnsi="Times New Roman" w:cs="Times New Roman"/>
        </w:rPr>
        <w:t>T</w:t>
      </w:r>
      <w:r w:rsidR="002A2A35" w:rsidRPr="0068442A">
        <w:rPr>
          <w:rFonts w:ascii="Times New Roman" w:hAnsi="Times New Roman" w:cs="Times New Roman"/>
        </w:rPr>
        <w:t xml:space="preserve">able </w:t>
      </w:r>
      <w:r w:rsidR="00631AFC" w:rsidRPr="0068442A">
        <w:rPr>
          <w:rFonts w:ascii="Times New Roman" w:hAnsi="Times New Roman" w:cs="Times New Roman"/>
        </w:rPr>
        <w:t>1:</w:t>
      </w:r>
    </w:p>
    <w:p w14:paraId="27161A40" w14:textId="77777777" w:rsidR="00DB407F" w:rsidRPr="0068442A" w:rsidRDefault="00DB407F" w:rsidP="00DB407F">
      <w:pPr>
        <w:spacing w:after="0" w:line="360" w:lineRule="auto"/>
        <w:jc w:val="both"/>
        <w:rPr>
          <w:rFonts w:ascii="Times New Roman" w:hAnsi="Times New Roman" w:cs="Times New Roman"/>
        </w:rPr>
      </w:pPr>
    </w:p>
    <w:p w14:paraId="6AD992EF" w14:textId="6438B56D" w:rsidR="008C6FFF" w:rsidRPr="0068442A" w:rsidRDefault="00631AFC" w:rsidP="00DB407F">
      <w:pPr>
        <w:spacing w:after="0" w:line="360" w:lineRule="auto"/>
        <w:jc w:val="both"/>
        <w:rPr>
          <w:rFonts w:ascii="Times New Roman" w:hAnsi="Times New Roman" w:cs="Times New Roman"/>
        </w:rPr>
      </w:pPr>
      <w:r w:rsidRPr="0068442A">
        <w:rPr>
          <w:rFonts w:ascii="Times New Roman" w:hAnsi="Times New Roman" w:cs="Times New Roman"/>
        </w:rPr>
        <w:lastRenderedPageBreak/>
        <w:t xml:space="preserve">Table 1: Teacher </w:t>
      </w:r>
      <w:r w:rsidR="006C4406" w:rsidRPr="0068442A">
        <w:rPr>
          <w:rFonts w:ascii="Times New Roman" w:hAnsi="Times New Roman" w:cs="Times New Roman"/>
        </w:rPr>
        <w:t>Profiles</w:t>
      </w:r>
      <w:r w:rsidR="002C7653" w:rsidRPr="0068442A">
        <w:rPr>
          <w:rFonts w:ascii="Times New Roman" w:hAnsi="Times New Roman" w:cs="Times New Roman"/>
        </w:rPr>
        <w:t xml:space="preserve"> Table Here</w:t>
      </w:r>
    </w:p>
    <w:p w14:paraId="66CC38C0" w14:textId="77777777" w:rsidR="008A0E3D" w:rsidRPr="0068442A" w:rsidRDefault="008A0E3D" w:rsidP="00BF1E10">
      <w:pPr>
        <w:autoSpaceDE w:val="0"/>
        <w:autoSpaceDN w:val="0"/>
        <w:adjustRightInd w:val="0"/>
        <w:spacing w:after="0" w:line="360" w:lineRule="auto"/>
        <w:jc w:val="both"/>
        <w:rPr>
          <w:rFonts w:ascii="Times New Roman" w:hAnsi="Times New Roman" w:cs="Times New Roman"/>
          <w:b/>
        </w:rPr>
      </w:pPr>
    </w:p>
    <w:p w14:paraId="1384E5E0" w14:textId="324843CF" w:rsidR="00676C1B" w:rsidRPr="0068442A" w:rsidRDefault="00676C1B" w:rsidP="000B594B">
      <w:pPr>
        <w:autoSpaceDE w:val="0"/>
        <w:autoSpaceDN w:val="0"/>
        <w:adjustRightInd w:val="0"/>
        <w:spacing w:after="0" w:line="360" w:lineRule="auto"/>
        <w:ind w:firstLine="720"/>
        <w:jc w:val="both"/>
        <w:rPr>
          <w:rFonts w:ascii="Times New Roman" w:hAnsi="Times New Roman" w:cs="Times New Roman"/>
        </w:rPr>
      </w:pPr>
    </w:p>
    <w:p w14:paraId="09F5619F" w14:textId="36D128DA" w:rsidR="000B594B" w:rsidRPr="0068442A" w:rsidRDefault="00676C1B" w:rsidP="00341D06">
      <w:pPr>
        <w:spacing w:after="0" w:line="360" w:lineRule="auto"/>
        <w:jc w:val="both"/>
        <w:rPr>
          <w:rFonts w:ascii="Times New Roman" w:hAnsi="Times New Roman" w:cs="Times New Roman"/>
        </w:rPr>
      </w:pPr>
      <w:r w:rsidRPr="0068442A">
        <w:rPr>
          <w:rFonts w:ascii="Times New Roman" w:hAnsi="Times New Roman" w:cs="Times New Roman"/>
          <w:color w:val="000000"/>
        </w:rPr>
        <w:t>The second round of interviews w</w:t>
      </w:r>
      <w:r w:rsidR="00B2131D" w:rsidRPr="0068442A">
        <w:rPr>
          <w:rFonts w:ascii="Times New Roman" w:hAnsi="Times New Roman" w:cs="Times New Roman"/>
          <w:color w:val="000000"/>
        </w:rPr>
        <w:t>as</w:t>
      </w:r>
      <w:r w:rsidRPr="0068442A">
        <w:rPr>
          <w:rFonts w:ascii="Times New Roman" w:hAnsi="Times New Roman" w:cs="Times New Roman"/>
          <w:color w:val="000000"/>
        </w:rPr>
        <w:t xml:space="preserve"> conducted with </w:t>
      </w:r>
      <w:r w:rsidR="00BB39E1" w:rsidRPr="0068442A">
        <w:rPr>
          <w:rFonts w:ascii="Times New Roman" w:hAnsi="Times New Roman" w:cs="Times New Roman"/>
        </w:rPr>
        <w:t>teacher unions</w:t>
      </w:r>
      <w:r w:rsidR="00862663" w:rsidRPr="0068442A">
        <w:rPr>
          <w:rFonts w:ascii="Times New Roman" w:hAnsi="Times New Roman" w:cs="Times New Roman"/>
        </w:rPr>
        <w:t xml:space="preserve"> (TUO)</w:t>
      </w:r>
      <w:r w:rsidR="004C7B79" w:rsidRPr="0068442A">
        <w:rPr>
          <w:rFonts w:ascii="Times New Roman" w:hAnsi="Times New Roman" w:cs="Times New Roman"/>
        </w:rPr>
        <w:t>, (n=4</w:t>
      </w:r>
      <w:r w:rsidR="00496C27" w:rsidRPr="0068442A">
        <w:rPr>
          <w:rFonts w:ascii="Times New Roman" w:hAnsi="Times New Roman" w:cs="Times New Roman"/>
        </w:rPr>
        <w:t>) and journalists</w:t>
      </w:r>
      <w:r w:rsidR="00862663" w:rsidRPr="0068442A">
        <w:rPr>
          <w:rFonts w:ascii="Times New Roman" w:hAnsi="Times New Roman" w:cs="Times New Roman"/>
        </w:rPr>
        <w:t xml:space="preserve"> (J)</w:t>
      </w:r>
      <w:r w:rsidR="00496C27" w:rsidRPr="0068442A">
        <w:rPr>
          <w:rFonts w:ascii="Times New Roman" w:hAnsi="Times New Roman" w:cs="Times New Roman"/>
        </w:rPr>
        <w:t xml:space="preserve"> (n=4</w:t>
      </w:r>
      <w:r w:rsidR="00074406" w:rsidRPr="0068442A">
        <w:rPr>
          <w:rFonts w:ascii="Times New Roman" w:hAnsi="Times New Roman" w:cs="Times New Roman"/>
        </w:rPr>
        <w:t xml:space="preserve">) to </w:t>
      </w:r>
      <w:r w:rsidR="002D7F76" w:rsidRPr="0068442A">
        <w:rPr>
          <w:rFonts w:ascii="Times New Roman" w:hAnsi="Times New Roman" w:cs="Times New Roman"/>
        </w:rPr>
        <w:t xml:space="preserve">gather </w:t>
      </w:r>
      <w:r w:rsidR="00074406" w:rsidRPr="0068442A">
        <w:rPr>
          <w:rFonts w:ascii="Times New Roman" w:hAnsi="Times New Roman" w:cs="Times New Roman"/>
        </w:rPr>
        <w:t>the opinions of the</w:t>
      </w:r>
      <w:r w:rsidR="00B2131D" w:rsidRPr="0068442A">
        <w:rPr>
          <w:rFonts w:ascii="Times New Roman" w:hAnsi="Times New Roman" w:cs="Times New Roman"/>
        </w:rPr>
        <w:t>se</w:t>
      </w:r>
      <w:r w:rsidR="00074406" w:rsidRPr="0068442A">
        <w:rPr>
          <w:rFonts w:ascii="Times New Roman" w:hAnsi="Times New Roman" w:cs="Times New Roman"/>
        </w:rPr>
        <w:t xml:space="preserve"> stakeholders on the relationship between girls’</w:t>
      </w:r>
      <w:r w:rsidR="00284126" w:rsidRPr="0068442A">
        <w:rPr>
          <w:rFonts w:ascii="Times New Roman" w:hAnsi="Times New Roman" w:cs="Times New Roman"/>
        </w:rPr>
        <w:t xml:space="preserve"> education and the 4+ </w:t>
      </w:r>
      <w:r w:rsidR="00074406" w:rsidRPr="0068442A">
        <w:rPr>
          <w:rFonts w:ascii="Times New Roman" w:hAnsi="Times New Roman" w:cs="Times New Roman"/>
        </w:rPr>
        <w:t xml:space="preserve">reform. </w:t>
      </w:r>
      <w:r w:rsidR="00B2131D" w:rsidRPr="0068442A">
        <w:rPr>
          <w:rFonts w:ascii="Times New Roman" w:hAnsi="Times New Roman" w:cs="Times New Roman"/>
        </w:rPr>
        <w:t>These interviews</w:t>
      </w:r>
      <w:r w:rsidR="0094558C" w:rsidRPr="0068442A">
        <w:rPr>
          <w:rFonts w:ascii="Times New Roman" w:hAnsi="Times New Roman" w:cs="Times New Roman"/>
        </w:rPr>
        <w:t xml:space="preserve"> </w:t>
      </w:r>
      <w:r w:rsidR="00B2131D" w:rsidRPr="0068442A">
        <w:rPr>
          <w:rFonts w:ascii="Times New Roman" w:hAnsi="Times New Roman" w:cs="Times New Roman"/>
        </w:rPr>
        <w:t>were</w:t>
      </w:r>
      <w:r w:rsidR="0094558C" w:rsidRPr="0068442A">
        <w:rPr>
          <w:rFonts w:ascii="Times New Roman" w:hAnsi="Times New Roman" w:cs="Times New Roman"/>
        </w:rPr>
        <w:t xml:space="preserve"> significant </w:t>
      </w:r>
      <w:r w:rsidR="00284126" w:rsidRPr="0068442A">
        <w:rPr>
          <w:rFonts w:ascii="Times New Roman" w:hAnsi="Times New Roman" w:cs="Times New Roman"/>
        </w:rPr>
        <w:t>in terms of providing</w:t>
      </w:r>
      <w:r w:rsidR="0094558C" w:rsidRPr="0068442A">
        <w:rPr>
          <w:rFonts w:ascii="Times New Roman" w:hAnsi="Times New Roman" w:cs="Times New Roman"/>
        </w:rPr>
        <w:t xml:space="preserve"> more insight about the policy</w:t>
      </w:r>
      <w:r w:rsidR="004B5AF8" w:rsidRPr="0068442A">
        <w:rPr>
          <w:rFonts w:ascii="Times New Roman" w:hAnsi="Times New Roman" w:cs="Times New Roman"/>
        </w:rPr>
        <w:t>-</w:t>
      </w:r>
      <w:r w:rsidR="0094558C" w:rsidRPr="0068442A">
        <w:rPr>
          <w:rFonts w:ascii="Times New Roman" w:hAnsi="Times New Roman" w:cs="Times New Roman"/>
        </w:rPr>
        <w:t xml:space="preserve">making process in Turkey. </w:t>
      </w:r>
      <w:r w:rsidR="001B21C1" w:rsidRPr="0068442A">
        <w:rPr>
          <w:rFonts w:ascii="Times New Roman" w:hAnsi="Times New Roman" w:cs="Times New Roman"/>
        </w:rPr>
        <w:t xml:space="preserve">There </w:t>
      </w:r>
      <w:r w:rsidR="004663D1" w:rsidRPr="0068442A">
        <w:rPr>
          <w:rFonts w:ascii="Times New Roman" w:hAnsi="Times New Roman" w:cs="Times New Roman"/>
        </w:rPr>
        <w:t>w</w:t>
      </w:r>
      <w:r w:rsidR="00D6076F" w:rsidRPr="0068442A">
        <w:rPr>
          <w:rFonts w:ascii="Times New Roman" w:hAnsi="Times New Roman" w:cs="Times New Roman"/>
        </w:rPr>
        <w:t>ere</w:t>
      </w:r>
      <w:r w:rsidR="00437EC6" w:rsidRPr="0068442A">
        <w:rPr>
          <w:rFonts w:ascii="Times New Roman" w:hAnsi="Times New Roman" w:cs="Times New Roman"/>
        </w:rPr>
        <w:t xml:space="preserve"> two teacher unions</w:t>
      </w:r>
      <w:r w:rsidR="001B21C1" w:rsidRPr="0068442A">
        <w:rPr>
          <w:rFonts w:ascii="Times New Roman" w:hAnsi="Times New Roman" w:cs="Times New Roman"/>
        </w:rPr>
        <w:t xml:space="preserve"> </w:t>
      </w:r>
      <w:r w:rsidR="00B2131D" w:rsidRPr="0068442A">
        <w:rPr>
          <w:rFonts w:ascii="Times New Roman" w:hAnsi="Times New Roman" w:cs="Times New Roman"/>
        </w:rPr>
        <w:t xml:space="preserve">that </w:t>
      </w:r>
      <w:r w:rsidR="001B21C1" w:rsidRPr="0068442A">
        <w:rPr>
          <w:rFonts w:ascii="Times New Roman" w:hAnsi="Times New Roman" w:cs="Times New Roman"/>
        </w:rPr>
        <w:t xml:space="preserve">participated in the interviewing process: </w:t>
      </w:r>
      <w:r w:rsidR="001B21C1" w:rsidRPr="0068442A">
        <w:rPr>
          <w:rFonts w:ascii="Times New Roman" w:hAnsi="Times New Roman" w:cs="Times New Roman"/>
          <w:i/>
        </w:rPr>
        <w:t>Egitim-Bir-Sen</w:t>
      </w:r>
      <w:r w:rsidR="001B21C1" w:rsidRPr="0068442A">
        <w:rPr>
          <w:rFonts w:ascii="Times New Roman" w:hAnsi="Times New Roman" w:cs="Times New Roman"/>
        </w:rPr>
        <w:t xml:space="preserve"> and</w:t>
      </w:r>
      <w:r w:rsidR="001B21C1" w:rsidRPr="0068442A">
        <w:rPr>
          <w:rFonts w:ascii="Times New Roman" w:hAnsi="Times New Roman" w:cs="Times New Roman"/>
          <w:i/>
        </w:rPr>
        <w:t xml:space="preserve"> Egitim-Sen</w:t>
      </w:r>
      <w:r w:rsidR="001B21C1" w:rsidRPr="0068442A">
        <w:rPr>
          <w:rFonts w:ascii="Times New Roman" w:hAnsi="Times New Roman" w:cs="Times New Roman"/>
        </w:rPr>
        <w:t xml:space="preserve">, which are the two major teacher unions in Turkey. </w:t>
      </w:r>
      <w:r w:rsidR="00B66136" w:rsidRPr="0068442A">
        <w:rPr>
          <w:rFonts w:ascii="Times New Roman" w:hAnsi="Times New Roman" w:cs="Times New Roman"/>
        </w:rPr>
        <w:t xml:space="preserve">Egitim-Bir-Sen is known to have a close relationship with the government since the union’s ideological stand is very similar to </w:t>
      </w:r>
      <w:r w:rsidR="00C54F31">
        <w:rPr>
          <w:rFonts w:ascii="Times New Roman" w:hAnsi="Times New Roman" w:cs="Times New Roman"/>
        </w:rPr>
        <w:t xml:space="preserve">that of </w:t>
      </w:r>
      <w:r w:rsidR="00B66136" w:rsidRPr="0068442A">
        <w:rPr>
          <w:rFonts w:ascii="Times New Roman" w:hAnsi="Times New Roman" w:cs="Times New Roman"/>
        </w:rPr>
        <w:t xml:space="preserve">the </w:t>
      </w:r>
      <w:r w:rsidR="000538B5" w:rsidRPr="0068442A">
        <w:rPr>
          <w:rFonts w:ascii="Times New Roman" w:hAnsi="Times New Roman" w:cs="Times New Roman"/>
        </w:rPr>
        <w:t>JDP</w:t>
      </w:r>
      <w:r w:rsidR="00284126" w:rsidRPr="0068442A">
        <w:rPr>
          <w:rFonts w:ascii="Times New Roman" w:hAnsi="Times New Roman" w:cs="Times New Roman"/>
        </w:rPr>
        <w:t>’s (the governing party)</w:t>
      </w:r>
      <w:r w:rsidR="00B66136" w:rsidRPr="0068442A">
        <w:rPr>
          <w:rFonts w:ascii="Times New Roman" w:hAnsi="Times New Roman" w:cs="Times New Roman"/>
        </w:rPr>
        <w:t xml:space="preserve"> liberal-conservative agenda. Egitim-Sen, on the other hand, is an opposition union</w:t>
      </w:r>
      <w:r w:rsidR="009C35E0">
        <w:rPr>
          <w:rFonts w:ascii="Times New Roman" w:hAnsi="Times New Roman" w:cs="Times New Roman"/>
        </w:rPr>
        <w:t xml:space="preserve"> that </w:t>
      </w:r>
      <w:r w:rsidR="00B66136" w:rsidRPr="0068442A">
        <w:rPr>
          <w:rFonts w:ascii="Times New Roman" w:hAnsi="Times New Roman" w:cs="Times New Roman"/>
        </w:rPr>
        <w:t>is known to critici</w:t>
      </w:r>
      <w:r w:rsidR="0050617E" w:rsidRPr="0068442A">
        <w:rPr>
          <w:rFonts w:ascii="Times New Roman" w:hAnsi="Times New Roman" w:cs="Times New Roman"/>
        </w:rPr>
        <w:t>s</w:t>
      </w:r>
      <w:r w:rsidR="00B66136" w:rsidRPr="0068442A">
        <w:rPr>
          <w:rFonts w:ascii="Times New Roman" w:hAnsi="Times New Roman" w:cs="Times New Roman"/>
        </w:rPr>
        <w:t>e the 4+ education reform very openly</w:t>
      </w:r>
      <w:r w:rsidR="00EF7998" w:rsidRPr="0068442A">
        <w:rPr>
          <w:rFonts w:ascii="Times New Roman" w:hAnsi="Times New Roman" w:cs="Times New Roman"/>
        </w:rPr>
        <w:t xml:space="preserve"> and</w:t>
      </w:r>
      <w:r w:rsidR="00B66136" w:rsidRPr="0068442A">
        <w:rPr>
          <w:rFonts w:ascii="Times New Roman" w:hAnsi="Times New Roman" w:cs="Times New Roman"/>
        </w:rPr>
        <w:t xml:space="preserve"> supports a secular education system.</w:t>
      </w:r>
      <w:r w:rsidR="00613AD4" w:rsidRPr="0068442A">
        <w:rPr>
          <w:rFonts w:ascii="Times New Roman" w:hAnsi="Times New Roman" w:cs="Times New Roman"/>
        </w:rPr>
        <w:t xml:space="preserve"> </w:t>
      </w:r>
      <w:r w:rsidR="00412A53" w:rsidRPr="0068442A">
        <w:rPr>
          <w:rFonts w:ascii="Times New Roman" w:hAnsi="Times New Roman" w:cs="Times New Roman"/>
        </w:rPr>
        <w:t xml:space="preserve">The members from these unions </w:t>
      </w:r>
      <w:r w:rsidR="009C35E0" w:rsidRPr="0068442A">
        <w:rPr>
          <w:rFonts w:ascii="Times New Roman" w:hAnsi="Times New Roman" w:cs="Times New Roman"/>
        </w:rPr>
        <w:t xml:space="preserve">that participated </w:t>
      </w:r>
      <w:r w:rsidR="00412A53" w:rsidRPr="0068442A">
        <w:rPr>
          <w:rFonts w:ascii="Times New Roman" w:hAnsi="Times New Roman" w:cs="Times New Roman"/>
        </w:rPr>
        <w:t xml:space="preserve">were the </w:t>
      </w:r>
      <w:r w:rsidR="00917D81" w:rsidRPr="0068442A">
        <w:rPr>
          <w:rFonts w:ascii="Times New Roman" w:hAnsi="Times New Roman" w:cs="Times New Roman"/>
        </w:rPr>
        <w:t xml:space="preserve">representatives </w:t>
      </w:r>
      <w:r w:rsidR="00412A53" w:rsidRPr="0068442A">
        <w:rPr>
          <w:rFonts w:ascii="Times New Roman" w:hAnsi="Times New Roman" w:cs="Times New Roman"/>
        </w:rPr>
        <w:t xml:space="preserve">of their local branches. </w:t>
      </w:r>
      <w:r w:rsidR="00607669" w:rsidRPr="0068442A">
        <w:rPr>
          <w:rFonts w:ascii="Times New Roman" w:hAnsi="Times New Roman" w:cs="Times New Roman"/>
        </w:rPr>
        <w:t xml:space="preserve">Regarding </w:t>
      </w:r>
      <w:r w:rsidR="009B1787" w:rsidRPr="0068442A">
        <w:rPr>
          <w:rFonts w:ascii="Times New Roman" w:hAnsi="Times New Roman" w:cs="Times New Roman"/>
        </w:rPr>
        <w:t>the journalists, three newspapers were chosen prior to the data collection</w:t>
      </w:r>
      <w:r w:rsidR="00B2131D" w:rsidRPr="0068442A">
        <w:rPr>
          <w:rFonts w:ascii="Times New Roman" w:hAnsi="Times New Roman" w:cs="Times New Roman"/>
        </w:rPr>
        <w:t>;</w:t>
      </w:r>
      <w:r w:rsidR="009B1787" w:rsidRPr="0068442A">
        <w:rPr>
          <w:rFonts w:ascii="Times New Roman" w:hAnsi="Times New Roman" w:cs="Times New Roman"/>
        </w:rPr>
        <w:t xml:space="preserve"> however, due to the state of emergency, the name</w:t>
      </w:r>
      <w:r w:rsidR="00B2131D" w:rsidRPr="0068442A">
        <w:rPr>
          <w:rFonts w:ascii="Times New Roman" w:hAnsi="Times New Roman" w:cs="Times New Roman"/>
        </w:rPr>
        <w:t>s</w:t>
      </w:r>
      <w:r w:rsidR="009B1787" w:rsidRPr="0068442A">
        <w:rPr>
          <w:rFonts w:ascii="Times New Roman" w:hAnsi="Times New Roman" w:cs="Times New Roman"/>
        </w:rPr>
        <w:t xml:space="preserve"> of these news</w:t>
      </w:r>
      <w:r w:rsidR="009B2E4A" w:rsidRPr="0068442A">
        <w:rPr>
          <w:rFonts w:ascii="Times New Roman" w:hAnsi="Times New Roman" w:cs="Times New Roman"/>
        </w:rPr>
        <w:t xml:space="preserve">papers </w:t>
      </w:r>
      <w:r w:rsidR="00B2131D" w:rsidRPr="0068442A">
        <w:rPr>
          <w:rFonts w:ascii="Times New Roman" w:hAnsi="Times New Roman" w:cs="Times New Roman"/>
        </w:rPr>
        <w:t>have been</w:t>
      </w:r>
      <w:r w:rsidR="009B2E4A" w:rsidRPr="0068442A">
        <w:rPr>
          <w:rFonts w:ascii="Times New Roman" w:hAnsi="Times New Roman" w:cs="Times New Roman"/>
        </w:rPr>
        <w:t xml:space="preserve"> kept anonymous. </w:t>
      </w:r>
      <w:r w:rsidR="00B66136" w:rsidRPr="0068442A">
        <w:rPr>
          <w:rFonts w:ascii="Times New Roman" w:hAnsi="Times New Roman" w:cs="Times New Roman"/>
        </w:rPr>
        <w:t xml:space="preserve">The newspapers were chosen according to their ideological </w:t>
      </w:r>
      <w:r w:rsidR="00A86267" w:rsidRPr="0068442A">
        <w:rPr>
          <w:rFonts w:ascii="Times New Roman" w:hAnsi="Times New Roman" w:cs="Times New Roman"/>
        </w:rPr>
        <w:t>position</w:t>
      </w:r>
      <w:r w:rsidR="00B66136" w:rsidRPr="0068442A">
        <w:rPr>
          <w:rFonts w:ascii="Times New Roman" w:hAnsi="Times New Roman" w:cs="Times New Roman"/>
        </w:rPr>
        <w:t xml:space="preserve">. To have </w:t>
      </w:r>
      <w:r w:rsidR="00A860DD" w:rsidRPr="0068442A">
        <w:rPr>
          <w:rFonts w:ascii="Times New Roman" w:hAnsi="Times New Roman" w:cs="Times New Roman"/>
        </w:rPr>
        <w:t xml:space="preserve">the most </w:t>
      </w:r>
      <w:r w:rsidR="00B66136" w:rsidRPr="0068442A">
        <w:rPr>
          <w:rFonts w:ascii="Times New Roman" w:hAnsi="Times New Roman" w:cs="Times New Roman"/>
        </w:rPr>
        <w:t xml:space="preserve">unbiased research possible, the research team tried to talk to both pro-government </w:t>
      </w:r>
      <w:r w:rsidR="00A860DD" w:rsidRPr="0068442A">
        <w:rPr>
          <w:rFonts w:ascii="Times New Roman" w:hAnsi="Times New Roman" w:cs="Times New Roman"/>
        </w:rPr>
        <w:t xml:space="preserve">and </w:t>
      </w:r>
      <w:r w:rsidR="00B66136" w:rsidRPr="0068442A">
        <w:rPr>
          <w:rFonts w:ascii="Times New Roman" w:hAnsi="Times New Roman" w:cs="Times New Roman"/>
        </w:rPr>
        <w:t>opposition newspapers</w:t>
      </w:r>
      <w:r w:rsidR="009C35E0">
        <w:rPr>
          <w:rFonts w:ascii="Times New Roman" w:hAnsi="Times New Roman" w:cs="Times New Roman"/>
        </w:rPr>
        <w:t>;</w:t>
      </w:r>
      <w:r w:rsidR="009C35E0" w:rsidRPr="0068442A">
        <w:rPr>
          <w:rFonts w:ascii="Times New Roman" w:hAnsi="Times New Roman" w:cs="Times New Roman"/>
        </w:rPr>
        <w:t xml:space="preserve"> </w:t>
      </w:r>
      <w:r w:rsidR="00B66136" w:rsidRPr="0068442A">
        <w:rPr>
          <w:rFonts w:ascii="Times New Roman" w:hAnsi="Times New Roman" w:cs="Times New Roman"/>
        </w:rPr>
        <w:t>therefore</w:t>
      </w:r>
      <w:r w:rsidR="009C35E0">
        <w:rPr>
          <w:rFonts w:ascii="Times New Roman" w:hAnsi="Times New Roman" w:cs="Times New Roman"/>
        </w:rPr>
        <w:t>,</w:t>
      </w:r>
      <w:r w:rsidR="00B66136" w:rsidRPr="0068442A">
        <w:rPr>
          <w:rFonts w:ascii="Times New Roman" w:hAnsi="Times New Roman" w:cs="Times New Roman"/>
        </w:rPr>
        <w:t xml:space="preserve"> the newspapers chosen for this research are mainstream newspapers</w:t>
      </w:r>
      <w:r w:rsidR="00216227" w:rsidRPr="0068442A">
        <w:rPr>
          <w:rFonts w:ascii="Times New Roman" w:hAnsi="Times New Roman" w:cs="Times New Roman"/>
        </w:rPr>
        <w:t>,</w:t>
      </w:r>
      <w:r w:rsidR="00B66136" w:rsidRPr="0068442A">
        <w:rPr>
          <w:rFonts w:ascii="Times New Roman" w:hAnsi="Times New Roman" w:cs="Times New Roman"/>
        </w:rPr>
        <w:t xml:space="preserve"> but they all hold different views. One of them is known to be pro-government</w:t>
      </w:r>
      <w:r w:rsidR="00216227" w:rsidRPr="0068442A">
        <w:rPr>
          <w:rFonts w:ascii="Times New Roman" w:hAnsi="Times New Roman" w:cs="Times New Roman"/>
        </w:rPr>
        <w:t>,</w:t>
      </w:r>
      <w:r w:rsidR="00B66136" w:rsidRPr="0068442A">
        <w:rPr>
          <w:rFonts w:ascii="Times New Roman" w:hAnsi="Times New Roman" w:cs="Times New Roman"/>
        </w:rPr>
        <w:t xml:space="preserve"> whereas the other two are less explicit in their political </w:t>
      </w:r>
      <w:r w:rsidR="00216227" w:rsidRPr="0068442A">
        <w:rPr>
          <w:rFonts w:ascii="Times New Roman" w:hAnsi="Times New Roman" w:cs="Times New Roman"/>
        </w:rPr>
        <w:t>stance</w:t>
      </w:r>
      <w:r w:rsidR="00540AF3" w:rsidRPr="0068442A">
        <w:rPr>
          <w:rFonts w:ascii="Times New Roman" w:hAnsi="Times New Roman" w:cs="Times New Roman"/>
        </w:rPr>
        <w:t>,</w:t>
      </w:r>
      <w:r w:rsidR="00216227" w:rsidRPr="0068442A">
        <w:rPr>
          <w:rFonts w:ascii="Times New Roman" w:hAnsi="Times New Roman" w:cs="Times New Roman"/>
        </w:rPr>
        <w:t xml:space="preserve"> </w:t>
      </w:r>
      <w:r w:rsidR="00B66136" w:rsidRPr="0068442A">
        <w:rPr>
          <w:rFonts w:ascii="Times New Roman" w:hAnsi="Times New Roman" w:cs="Times New Roman"/>
        </w:rPr>
        <w:t>while being more critical of the government</w:t>
      </w:r>
      <w:r w:rsidR="009C35E0">
        <w:rPr>
          <w:rFonts w:ascii="Times New Roman" w:hAnsi="Times New Roman" w:cs="Times New Roman"/>
        </w:rPr>
        <w:t>’s</w:t>
      </w:r>
      <w:r w:rsidR="00B66136" w:rsidRPr="0068442A">
        <w:rPr>
          <w:rFonts w:ascii="Times New Roman" w:hAnsi="Times New Roman" w:cs="Times New Roman"/>
        </w:rPr>
        <w:t xml:space="preserve"> policies. </w:t>
      </w:r>
      <w:r w:rsidR="00D4004B" w:rsidRPr="0068442A">
        <w:rPr>
          <w:rFonts w:ascii="Times New Roman" w:hAnsi="Times New Roman" w:cs="Times New Roman"/>
        </w:rPr>
        <w:t xml:space="preserve">Each of these interviews lasted </w:t>
      </w:r>
      <w:r w:rsidR="00540AF3" w:rsidRPr="0068442A">
        <w:rPr>
          <w:rFonts w:ascii="Times New Roman" w:hAnsi="Times New Roman" w:cs="Times New Roman"/>
        </w:rPr>
        <w:t xml:space="preserve">for </w:t>
      </w:r>
      <w:r w:rsidR="00D4004B" w:rsidRPr="0068442A">
        <w:rPr>
          <w:rFonts w:ascii="Times New Roman" w:hAnsi="Times New Roman" w:cs="Times New Roman"/>
        </w:rPr>
        <w:t>around 50</w:t>
      </w:r>
      <w:r w:rsidR="00540AF3" w:rsidRPr="0068442A">
        <w:rPr>
          <w:rFonts w:ascii="Times New Roman" w:hAnsi="Times New Roman" w:cs="Times New Roman"/>
        </w:rPr>
        <w:t>–</w:t>
      </w:r>
      <w:r w:rsidR="00D4004B" w:rsidRPr="0068442A">
        <w:rPr>
          <w:rFonts w:ascii="Times New Roman" w:hAnsi="Times New Roman" w:cs="Times New Roman"/>
        </w:rPr>
        <w:t>60 minutes. Some of the participants permitted the use of a</w:t>
      </w:r>
      <w:r w:rsidR="00540AF3" w:rsidRPr="0068442A">
        <w:rPr>
          <w:rFonts w:ascii="Times New Roman" w:hAnsi="Times New Roman" w:cs="Times New Roman"/>
        </w:rPr>
        <w:t>n audio</w:t>
      </w:r>
      <w:r w:rsidR="00D4004B" w:rsidRPr="0068442A">
        <w:rPr>
          <w:rFonts w:ascii="Times New Roman" w:hAnsi="Times New Roman" w:cs="Times New Roman"/>
        </w:rPr>
        <w:t xml:space="preserve"> recorder</w:t>
      </w:r>
      <w:r w:rsidR="00540AF3" w:rsidRPr="0068442A">
        <w:rPr>
          <w:rFonts w:ascii="Times New Roman" w:hAnsi="Times New Roman" w:cs="Times New Roman"/>
        </w:rPr>
        <w:t>,</w:t>
      </w:r>
      <w:r w:rsidR="00D4004B" w:rsidRPr="0068442A">
        <w:rPr>
          <w:rFonts w:ascii="Times New Roman" w:hAnsi="Times New Roman" w:cs="Times New Roman"/>
        </w:rPr>
        <w:t xml:space="preserve"> as long as</w:t>
      </w:r>
      <w:r w:rsidR="00496C27" w:rsidRPr="0068442A">
        <w:rPr>
          <w:rFonts w:ascii="Times New Roman" w:hAnsi="Times New Roman" w:cs="Times New Roman"/>
        </w:rPr>
        <w:t xml:space="preserve"> their names were kept private</w:t>
      </w:r>
      <w:r w:rsidR="00575465" w:rsidRPr="0068442A">
        <w:rPr>
          <w:rFonts w:ascii="Times New Roman" w:hAnsi="Times New Roman" w:cs="Times New Roman"/>
        </w:rPr>
        <w:t xml:space="preserve">; </w:t>
      </w:r>
      <w:r w:rsidR="00496C27" w:rsidRPr="0068442A">
        <w:rPr>
          <w:rFonts w:ascii="Times New Roman" w:hAnsi="Times New Roman" w:cs="Times New Roman"/>
        </w:rPr>
        <w:t>some refused</w:t>
      </w:r>
      <w:r w:rsidR="00575465" w:rsidRPr="0068442A">
        <w:rPr>
          <w:rFonts w:ascii="Times New Roman" w:hAnsi="Times New Roman" w:cs="Times New Roman"/>
        </w:rPr>
        <w:t xml:space="preserve"> </w:t>
      </w:r>
      <w:r w:rsidR="002E14A8" w:rsidRPr="0068442A">
        <w:rPr>
          <w:rFonts w:ascii="Times New Roman" w:hAnsi="Times New Roman" w:cs="Times New Roman"/>
        </w:rPr>
        <w:t xml:space="preserve">to allow </w:t>
      </w:r>
      <w:r w:rsidR="00575465" w:rsidRPr="0068442A">
        <w:rPr>
          <w:rFonts w:ascii="Times New Roman" w:hAnsi="Times New Roman" w:cs="Times New Roman"/>
        </w:rPr>
        <w:t>an</w:t>
      </w:r>
      <w:r w:rsidR="00496C27" w:rsidRPr="0068442A">
        <w:rPr>
          <w:rFonts w:ascii="Times New Roman" w:hAnsi="Times New Roman" w:cs="Times New Roman"/>
        </w:rPr>
        <w:t xml:space="preserve"> audio record</w:t>
      </w:r>
      <w:r w:rsidR="00575465" w:rsidRPr="0068442A">
        <w:rPr>
          <w:rFonts w:ascii="Times New Roman" w:hAnsi="Times New Roman" w:cs="Times New Roman"/>
        </w:rPr>
        <w:t>ing</w:t>
      </w:r>
      <w:r w:rsidR="00496C27" w:rsidRPr="0068442A">
        <w:rPr>
          <w:rFonts w:ascii="Times New Roman" w:hAnsi="Times New Roman" w:cs="Times New Roman"/>
        </w:rPr>
        <w:t xml:space="preserve"> due to </w:t>
      </w:r>
      <w:r w:rsidR="00575465" w:rsidRPr="0068442A">
        <w:rPr>
          <w:rFonts w:ascii="Times New Roman" w:hAnsi="Times New Roman" w:cs="Times New Roman"/>
        </w:rPr>
        <w:t xml:space="preserve">the </w:t>
      </w:r>
      <w:r w:rsidR="00496C27" w:rsidRPr="0068442A">
        <w:rPr>
          <w:rFonts w:ascii="Times New Roman" w:hAnsi="Times New Roman" w:cs="Times New Roman"/>
        </w:rPr>
        <w:t xml:space="preserve">state of emergency </w:t>
      </w:r>
      <w:r w:rsidR="00575465" w:rsidRPr="0068442A">
        <w:rPr>
          <w:rFonts w:ascii="Times New Roman" w:hAnsi="Times New Roman" w:cs="Times New Roman"/>
        </w:rPr>
        <w:t xml:space="preserve">in place </w:t>
      </w:r>
      <w:r w:rsidR="00496C27" w:rsidRPr="0068442A">
        <w:rPr>
          <w:rFonts w:ascii="Times New Roman" w:hAnsi="Times New Roman" w:cs="Times New Roman"/>
        </w:rPr>
        <w:t xml:space="preserve">in Turkey. </w:t>
      </w:r>
      <w:r w:rsidR="000B594B" w:rsidRPr="0068442A">
        <w:rPr>
          <w:rFonts w:ascii="Times New Roman" w:hAnsi="Times New Roman" w:cs="Times New Roman"/>
        </w:rPr>
        <w:t xml:space="preserve">Participation in this research was completely voluntary and </w:t>
      </w:r>
      <w:r w:rsidR="00631AFC" w:rsidRPr="0068442A">
        <w:rPr>
          <w:rFonts w:ascii="Times New Roman" w:hAnsi="Times New Roman" w:cs="Times New Roman"/>
        </w:rPr>
        <w:t>participants</w:t>
      </w:r>
      <w:r w:rsidR="000B594B" w:rsidRPr="0068442A">
        <w:rPr>
          <w:rFonts w:ascii="Times New Roman" w:hAnsi="Times New Roman" w:cs="Times New Roman"/>
        </w:rPr>
        <w:t xml:space="preserve"> had the right to stop interviews </w:t>
      </w:r>
      <w:r w:rsidR="00631AFC" w:rsidRPr="0068442A">
        <w:rPr>
          <w:rFonts w:ascii="Times New Roman" w:hAnsi="Times New Roman" w:cs="Times New Roman"/>
        </w:rPr>
        <w:t xml:space="preserve">and withdraw from the study at any </w:t>
      </w:r>
      <w:r w:rsidR="009C35E0">
        <w:rPr>
          <w:rFonts w:ascii="Times New Roman" w:hAnsi="Times New Roman" w:cs="Times New Roman"/>
        </w:rPr>
        <w:t>time</w:t>
      </w:r>
      <w:r w:rsidR="00FE1448" w:rsidRPr="0068442A">
        <w:rPr>
          <w:rFonts w:ascii="Times New Roman" w:hAnsi="Times New Roman" w:cs="Times New Roman"/>
        </w:rPr>
        <w:t>.</w:t>
      </w:r>
      <w:r w:rsidR="000B594B" w:rsidRPr="0068442A">
        <w:rPr>
          <w:rFonts w:ascii="Times New Roman" w:hAnsi="Times New Roman" w:cs="Times New Roman"/>
        </w:rPr>
        <w:t xml:space="preserve"> </w:t>
      </w:r>
      <w:r w:rsidR="00631AFC" w:rsidRPr="0068442A">
        <w:rPr>
          <w:rFonts w:ascii="Times New Roman" w:hAnsi="Times New Roman" w:cs="Times New Roman"/>
        </w:rPr>
        <w:t xml:space="preserve">The reason why the study was conducted with stakeholders </w:t>
      </w:r>
      <w:r w:rsidR="00EB790D">
        <w:rPr>
          <w:rFonts w:ascii="Times New Roman" w:hAnsi="Times New Roman" w:cs="Times New Roman"/>
        </w:rPr>
        <w:t xml:space="preserve">that </w:t>
      </w:r>
      <w:r w:rsidR="00EB790D" w:rsidRPr="0068442A">
        <w:rPr>
          <w:rFonts w:ascii="Times New Roman" w:hAnsi="Times New Roman" w:cs="Times New Roman"/>
        </w:rPr>
        <w:t>influenc</w:t>
      </w:r>
      <w:r w:rsidR="00EB790D">
        <w:rPr>
          <w:rFonts w:ascii="Times New Roman" w:hAnsi="Times New Roman" w:cs="Times New Roman"/>
        </w:rPr>
        <w:t>e</w:t>
      </w:r>
      <w:r w:rsidR="00EB790D" w:rsidRPr="0068442A">
        <w:rPr>
          <w:rFonts w:ascii="Times New Roman" w:hAnsi="Times New Roman" w:cs="Times New Roman"/>
        </w:rPr>
        <w:t xml:space="preserve"> </w:t>
      </w:r>
      <w:r w:rsidR="00631AFC" w:rsidRPr="0068442A">
        <w:rPr>
          <w:rFonts w:ascii="Times New Roman" w:hAnsi="Times New Roman" w:cs="Times New Roman"/>
        </w:rPr>
        <w:t>policy</w:t>
      </w:r>
      <w:r w:rsidR="00540AF3" w:rsidRPr="0068442A">
        <w:rPr>
          <w:rFonts w:ascii="Times New Roman" w:hAnsi="Times New Roman" w:cs="Times New Roman"/>
        </w:rPr>
        <w:t>-</w:t>
      </w:r>
      <w:r w:rsidR="00631AFC" w:rsidRPr="0068442A">
        <w:rPr>
          <w:rFonts w:ascii="Times New Roman" w:hAnsi="Times New Roman" w:cs="Times New Roman"/>
        </w:rPr>
        <w:t xml:space="preserve">making </w:t>
      </w:r>
      <w:r w:rsidR="00EB790D" w:rsidRPr="0068442A">
        <w:rPr>
          <w:rFonts w:ascii="Times New Roman" w:hAnsi="Times New Roman" w:cs="Times New Roman"/>
        </w:rPr>
        <w:t xml:space="preserve">and teachers </w:t>
      </w:r>
      <w:r w:rsidR="00631AFC" w:rsidRPr="0068442A">
        <w:rPr>
          <w:rFonts w:ascii="Times New Roman" w:hAnsi="Times New Roman" w:cs="Times New Roman"/>
        </w:rPr>
        <w:t xml:space="preserve">was to </w:t>
      </w:r>
      <w:r w:rsidR="000B594B" w:rsidRPr="0068442A">
        <w:rPr>
          <w:rFonts w:ascii="Times New Roman" w:hAnsi="Times New Roman" w:cs="Times New Roman"/>
          <w:color w:val="000000"/>
        </w:rPr>
        <w:t>examine the im</w:t>
      </w:r>
      <w:r w:rsidR="00284126" w:rsidRPr="0068442A">
        <w:rPr>
          <w:rFonts w:ascii="Times New Roman" w:hAnsi="Times New Roman" w:cs="Times New Roman"/>
          <w:color w:val="000000"/>
        </w:rPr>
        <w:t>plementation of the 4+</w:t>
      </w:r>
      <w:r w:rsidR="000B594B" w:rsidRPr="0068442A">
        <w:rPr>
          <w:rFonts w:ascii="Times New Roman" w:hAnsi="Times New Roman" w:cs="Times New Roman"/>
          <w:color w:val="000000"/>
        </w:rPr>
        <w:t xml:space="preserve"> reform and the underlying aims of applying this policy</w:t>
      </w:r>
      <w:r w:rsidR="00EB790D">
        <w:rPr>
          <w:rFonts w:ascii="Times New Roman" w:hAnsi="Times New Roman" w:cs="Times New Roman"/>
          <w:color w:val="000000"/>
        </w:rPr>
        <w:t>; t</w:t>
      </w:r>
      <w:r w:rsidR="00631AFC" w:rsidRPr="0068442A">
        <w:rPr>
          <w:rFonts w:ascii="Times New Roman" w:hAnsi="Times New Roman" w:cs="Times New Roman"/>
          <w:color w:val="000000"/>
        </w:rPr>
        <w:t xml:space="preserve">herefore, we </w:t>
      </w:r>
      <w:r w:rsidR="00EB790D">
        <w:rPr>
          <w:rFonts w:ascii="Times New Roman" w:hAnsi="Times New Roman" w:cs="Times New Roman"/>
          <w:color w:val="000000"/>
        </w:rPr>
        <w:t>interviewed</w:t>
      </w:r>
      <w:r w:rsidR="00EB790D" w:rsidRPr="0068442A">
        <w:rPr>
          <w:rFonts w:ascii="Times New Roman" w:hAnsi="Times New Roman" w:cs="Times New Roman"/>
          <w:color w:val="000000"/>
        </w:rPr>
        <w:t xml:space="preserve"> </w:t>
      </w:r>
      <w:r w:rsidR="00EB790D">
        <w:rPr>
          <w:rFonts w:ascii="Times New Roman" w:hAnsi="Times New Roman" w:cs="Times New Roman"/>
          <w:color w:val="000000"/>
        </w:rPr>
        <w:t>people who could</w:t>
      </w:r>
      <w:r w:rsidR="00EB790D" w:rsidRPr="0068442A">
        <w:rPr>
          <w:rFonts w:ascii="Times New Roman" w:hAnsi="Times New Roman" w:cs="Times New Roman"/>
          <w:color w:val="000000"/>
        </w:rPr>
        <w:t xml:space="preserve"> </w:t>
      </w:r>
      <w:r w:rsidR="000B594B" w:rsidRPr="0068442A">
        <w:rPr>
          <w:rFonts w:ascii="Times New Roman" w:hAnsi="Times New Roman" w:cs="Times New Roman"/>
          <w:color w:val="000000"/>
        </w:rPr>
        <w:t>provide insight on the policy changes</w:t>
      </w:r>
      <w:r w:rsidR="00631AFC" w:rsidRPr="0068442A">
        <w:rPr>
          <w:rFonts w:ascii="Times New Roman" w:hAnsi="Times New Roman" w:cs="Times New Roman"/>
          <w:color w:val="000000"/>
        </w:rPr>
        <w:t>.</w:t>
      </w:r>
      <w:r w:rsidR="0066109E" w:rsidRPr="0068442A">
        <w:rPr>
          <w:rFonts w:ascii="Times New Roman" w:hAnsi="Times New Roman" w:cs="Times New Roman"/>
          <w:color w:val="000000"/>
        </w:rPr>
        <w:t xml:space="preserve"> </w:t>
      </w:r>
      <w:r w:rsidR="00112A7C" w:rsidRPr="0068442A">
        <w:rPr>
          <w:rFonts w:ascii="Times New Roman" w:hAnsi="Times New Roman" w:cs="Times New Roman"/>
          <w:color w:val="000000"/>
        </w:rPr>
        <w:t xml:space="preserve">There were two </w:t>
      </w:r>
      <w:r w:rsidR="008F343D" w:rsidRPr="0068442A">
        <w:rPr>
          <w:rFonts w:ascii="Times New Roman" w:hAnsi="Times New Roman" w:cs="Times New Roman"/>
          <w:color w:val="000000"/>
        </w:rPr>
        <w:t xml:space="preserve">different </w:t>
      </w:r>
      <w:r w:rsidR="00112A7C" w:rsidRPr="0068442A">
        <w:rPr>
          <w:rFonts w:ascii="Times New Roman" w:hAnsi="Times New Roman" w:cs="Times New Roman"/>
          <w:color w:val="000000"/>
        </w:rPr>
        <w:t>sets of interview question</w:t>
      </w:r>
      <w:r w:rsidR="00341D06" w:rsidRPr="0068442A">
        <w:rPr>
          <w:rFonts w:ascii="Times New Roman" w:hAnsi="Times New Roman" w:cs="Times New Roman"/>
          <w:color w:val="000000"/>
        </w:rPr>
        <w:t>s for teachers and stakeholders</w:t>
      </w:r>
      <w:r w:rsidR="000866E9" w:rsidRPr="0068442A">
        <w:rPr>
          <w:rFonts w:ascii="Times New Roman" w:hAnsi="Times New Roman" w:cs="Times New Roman"/>
          <w:color w:val="000000"/>
        </w:rPr>
        <w:t>. The interviews with stakeholders</w:t>
      </w:r>
      <w:r w:rsidR="00341D06" w:rsidRPr="0068442A">
        <w:rPr>
          <w:rFonts w:ascii="Times New Roman" w:hAnsi="Times New Roman" w:cs="Times New Roman"/>
          <w:color w:val="000000"/>
        </w:rPr>
        <w:t xml:space="preserve"> </w:t>
      </w:r>
      <w:r w:rsidR="000866E9" w:rsidRPr="0068442A">
        <w:rPr>
          <w:rFonts w:ascii="Times New Roman" w:hAnsi="Times New Roman" w:cs="Times New Roman"/>
          <w:color w:val="000000"/>
        </w:rPr>
        <w:t xml:space="preserve">provided the researchers with a </w:t>
      </w:r>
      <w:r w:rsidR="00AB5994" w:rsidRPr="0068442A">
        <w:rPr>
          <w:rFonts w:ascii="Times New Roman" w:hAnsi="Times New Roman" w:cs="Times New Roman"/>
          <w:color w:val="000000"/>
        </w:rPr>
        <w:t>wider perspective on how education policies are being implemented</w:t>
      </w:r>
      <w:r w:rsidR="001B3D99" w:rsidRPr="0068442A">
        <w:rPr>
          <w:rFonts w:ascii="Times New Roman" w:hAnsi="Times New Roman" w:cs="Times New Roman"/>
          <w:color w:val="000000"/>
        </w:rPr>
        <w:t xml:space="preserve"> and established</w:t>
      </w:r>
      <w:r w:rsidR="00AB5994" w:rsidRPr="0068442A">
        <w:rPr>
          <w:rFonts w:ascii="Times New Roman" w:hAnsi="Times New Roman" w:cs="Times New Roman"/>
          <w:color w:val="000000"/>
        </w:rPr>
        <w:t xml:space="preserve"> in Turkey and </w:t>
      </w:r>
      <w:r w:rsidR="00284126" w:rsidRPr="0068442A">
        <w:rPr>
          <w:rFonts w:ascii="Times New Roman" w:hAnsi="Times New Roman" w:cs="Times New Roman"/>
          <w:color w:val="000000"/>
        </w:rPr>
        <w:t xml:space="preserve">helped to </w:t>
      </w:r>
      <w:r w:rsidR="001F2306">
        <w:rPr>
          <w:rFonts w:ascii="Times New Roman" w:hAnsi="Times New Roman" w:cs="Times New Roman"/>
          <w:color w:val="000000"/>
        </w:rPr>
        <w:t xml:space="preserve">provide an </w:t>
      </w:r>
      <w:r w:rsidR="00284126" w:rsidRPr="0068442A">
        <w:rPr>
          <w:rFonts w:ascii="Times New Roman" w:hAnsi="Times New Roman" w:cs="Times New Roman"/>
          <w:color w:val="000000"/>
        </w:rPr>
        <w:t>understand</w:t>
      </w:r>
      <w:r w:rsidR="001F2306">
        <w:rPr>
          <w:rFonts w:ascii="Times New Roman" w:hAnsi="Times New Roman" w:cs="Times New Roman"/>
          <w:color w:val="000000"/>
        </w:rPr>
        <w:t>ing of</w:t>
      </w:r>
      <w:r w:rsidR="00284126" w:rsidRPr="0068442A">
        <w:rPr>
          <w:rFonts w:ascii="Times New Roman" w:hAnsi="Times New Roman" w:cs="Times New Roman"/>
          <w:color w:val="000000"/>
        </w:rPr>
        <w:t xml:space="preserve"> how they approach</w:t>
      </w:r>
      <w:r w:rsidR="00B66136" w:rsidRPr="0068442A">
        <w:rPr>
          <w:rFonts w:ascii="Times New Roman" w:hAnsi="Times New Roman" w:cs="Times New Roman"/>
          <w:color w:val="000000"/>
        </w:rPr>
        <w:t xml:space="preserve"> </w:t>
      </w:r>
      <w:r w:rsidR="006F3262">
        <w:rPr>
          <w:rFonts w:ascii="Times New Roman" w:hAnsi="Times New Roman" w:cs="Times New Roman"/>
          <w:color w:val="000000"/>
        </w:rPr>
        <w:t xml:space="preserve">the </w:t>
      </w:r>
      <w:r w:rsidR="00B66136" w:rsidRPr="0068442A">
        <w:rPr>
          <w:rFonts w:ascii="Times New Roman" w:hAnsi="Times New Roman" w:cs="Times New Roman"/>
          <w:color w:val="000000"/>
        </w:rPr>
        <w:t>gender</w:t>
      </w:r>
      <w:r w:rsidR="006F3262">
        <w:rPr>
          <w:rFonts w:ascii="Times New Roman" w:hAnsi="Times New Roman" w:cs="Times New Roman"/>
          <w:color w:val="000000"/>
        </w:rPr>
        <w:t xml:space="preserve"> </w:t>
      </w:r>
      <w:r w:rsidR="00B66136" w:rsidRPr="0068442A">
        <w:rPr>
          <w:rFonts w:ascii="Times New Roman" w:hAnsi="Times New Roman" w:cs="Times New Roman"/>
          <w:color w:val="000000"/>
        </w:rPr>
        <w:t>equality concerns of</w:t>
      </w:r>
      <w:r w:rsidR="00AB5994" w:rsidRPr="0068442A">
        <w:rPr>
          <w:rFonts w:ascii="Times New Roman" w:hAnsi="Times New Roman" w:cs="Times New Roman"/>
          <w:color w:val="000000"/>
        </w:rPr>
        <w:t xml:space="preserve"> </w:t>
      </w:r>
      <w:r w:rsidR="00592927" w:rsidRPr="0068442A">
        <w:rPr>
          <w:rFonts w:ascii="Times New Roman" w:hAnsi="Times New Roman" w:cs="Times New Roman"/>
          <w:color w:val="000000"/>
        </w:rPr>
        <w:t xml:space="preserve">the </w:t>
      </w:r>
      <w:r w:rsidR="00284126" w:rsidRPr="0068442A">
        <w:rPr>
          <w:rFonts w:ascii="Times New Roman" w:hAnsi="Times New Roman" w:cs="Times New Roman"/>
          <w:color w:val="000000"/>
        </w:rPr>
        <w:t>reform</w:t>
      </w:r>
      <w:r w:rsidR="00AB5994" w:rsidRPr="0068442A">
        <w:rPr>
          <w:rFonts w:ascii="Times New Roman" w:hAnsi="Times New Roman" w:cs="Times New Roman"/>
          <w:color w:val="000000"/>
        </w:rPr>
        <w:t>.</w:t>
      </w:r>
      <w:r w:rsidR="00341D06" w:rsidRPr="0068442A">
        <w:rPr>
          <w:rFonts w:ascii="Times New Roman" w:hAnsi="Times New Roman" w:cs="Times New Roman"/>
          <w:color w:val="000000"/>
        </w:rPr>
        <w:t xml:space="preserve"> The interview questions with teachers, on the other hand, aimed to elicit their understanding of gender equality and how they view</w:t>
      </w:r>
      <w:r w:rsidR="006F3262">
        <w:rPr>
          <w:rFonts w:ascii="Times New Roman" w:hAnsi="Times New Roman" w:cs="Times New Roman"/>
          <w:color w:val="000000"/>
        </w:rPr>
        <w:t>ed</w:t>
      </w:r>
      <w:r w:rsidR="00341D06" w:rsidRPr="0068442A">
        <w:rPr>
          <w:rFonts w:ascii="Times New Roman" w:hAnsi="Times New Roman" w:cs="Times New Roman"/>
          <w:color w:val="000000"/>
        </w:rPr>
        <w:t xml:space="preserve"> the 4+ reform in terms of girls’ education</w:t>
      </w:r>
      <w:r w:rsidR="00E901C0" w:rsidRPr="0068442A">
        <w:rPr>
          <w:rFonts w:ascii="Times New Roman" w:hAnsi="Times New Roman" w:cs="Times New Roman"/>
          <w:color w:val="000000"/>
        </w:rPr>
        <w:t xml:space="preserve"> in order to explore </w:t>
      </w:r>
      <w:r w:rsidR="006F3262">
        <w:rPr>
          <w:rFonts w:ascii="Times New Roman" w:hAnsi="Times New Roman" w:cs="Times New Roman"/>
          <w:color w:val="000000"/>
        </w:rPr>
        <w:t>to what</w:t>
      </w:r>
      <w:r w:rsidR="006F3262" w:rsidRPr="0068442A">
        <w:rPr>
          <w:rFonts w:ascii="Times New Roman" w:hAnsi="Times New Roman" w:cs="Times New Roman"/>
          <w:color w:val="000000"/>
        </w:rPr>
        <w:t xml:space="preserve"> </w:t>
      </w:r>
      <w:r w:rsidR="00E901C0" w:rsidRPr="0068442A">
        <w:rPr>
          <w:rFonts w:ascii="Times New Roman" w:hAnsi="Times New Roman" w:cs="Times New Roman"/>
          <w:color w:val="000000"/>
        </w:rPr>
        <w:t xml:space="preserve">extent </w:t>
      </w:r>
      <w:r w:rsidR="006F3262">
        <w:rPr>
          <w:rFonts w:ascii="Times New Roman" w:hAnsi="Times New Roman" w:cs="Times New Roman"/>
          <w:color w:val="000000"/>
        </w:rPr>
        <w:t xml:space="preserve">the </w:t>
      </w:r>
      <w:r w:rsidR="00E901C0" w:rsidRPr="0068442A">
        <w:rPr>
          <w:rFonts w:ascii="Times New Roman" w:hAnsi="Times New Roman" w:cs="Times New Roman"/>
          <w:color w:val="000000"/>
        </w:rPr>
        <w:t xml:space="preserve">reform </w:t>
      </w:r>
      <w:r w:rsidR="00635E40" w:rsidRPr="0068442A">
        <w:rPr>
          <w:rFonts w:ascii="Times New Roman" w:hAnsi="Times New Roman" w:cs="Times New Roman"/>
          <w:color w:val="000000"/>
        </w:rPr>
        <w:t>played a role in fostering gender equality</w:t>
      </w:r>
      <w:r w:rsidR="006F3262">
        <w:rPr>
          <w:rFonts w:ascii="Times New Roman" w:hAnsi="Times New Roman" w:cs="Times New Roman"/>
          <w:color w:val="000000"/>
        </w:rPr>
        <w:t>,</w:t>
      </w:r>
      <w:r w:rsidR="00635E40" w:rsidRPr="0068442A">
        <w:rPr>
          <w:rFonts w:ascii="Times New Roman" w:hAnsi="Times New Roman" w:cs="Times New Roman"/>
          <w:color w:val="000000"/>
        </w:rPr>
        <w:t xml:space="preserve"> both </w:t>
      </w:r>
      <w:r w:rsidR="00AF54CE">
        <w:rPr>
          <w:rFonts w:ascii="Times New Roman" w:hAnsi="Times New Roman" w:cs="Times New Roman"/>
          <w:color w:val="000000"/>
        </w:rPr>
        <w:t>in</w:t>
      </w:r>
      <w:r w:rsidR="00AF54CE" w:rsidRPr="0068442A">
        <w:rPr>
          <w:rFonts w:ascii="Times New Roman" w:hAnsi="Times New Roman" w:cs="Times New Roman"/>
          <w:color w:val="000000"/>
        </w:rPr>
        <w:t xml:space="preserve"> </w:t>
      </w:r>
      <w:r w:rsidR="00635E40" w:rsidRPr="0068442A">
        <w:rPr>
          <w:rFonts w:ascii="Times New Roman" w:hAnsi="Times New Roman" w:cs="Times New Roman"/>
          <w:color w:val="000000"/>
        </w:rPr>
        <w:t xml:space="preserve">schools and in </w:t>
      </w:r>
      <w:r w:rsidR="006F3262">
        <w:rPr>
          <w:rFonts w:ascii="Times New Roman" w:hAnsi="Times New Roman" w:cs="Times New Roman"/>
          <w:color w:val="000000"/>
        </w:rPr>
        <w:t xml:space="preserve">the </w:t>
      </w:r>
      <w:r w:rsidR="00635E40" w:rsidRPr="0068442A">
        <w:rPr>
          <w:rFonts w:ascii="Times New Roman" w:hAnsi="Times New Roman" w:cs="Times New Roman"/>
          <w:color w:val="000000"/>
        </w:rPr>
        <w:t>educational lives of students.</w:t>
      </w:r>
    </w:p>
    <w:p w14:paraId="71D0C727" w14:textId="08E7E604" w:rsidR="00CC1E64" w:rsidRPr="0068442A" w:rsidRDefault="00635E40" w:rsidP="00284126">
      <w:pPr>
        <w:spacing w:after="0" w:line="360" w:lineRule="auto"/>
        <w:ind w:firstLine="720"/>
        <w:jc w:val="both"/>
        <w:rPr>
          <w:rFonts w:ascii="Times New Roman" w:hAnsi="Times New Roman" w:cs="Times New Roman"/>
        </w:rPr>
      </w:pPr>
      <w:r w:rsidRPr="0068442A">
        <w:rPr>
          <w:rFonts w:ascii="Times New Roman" w:hAnsi="Times New Roman" w:cs="Times New Roman"/>
        </w:rPr>
        <w:t xml:space="preserve">For data analysis, </w:t>
      </w:r>
      <w:r w:rsidRPr="0068442A">
        <w:rPr>
          <w:rFonts w:ascii="Times New Roman" w:hAnsi="Times New Roman" w:cs="Times New Roman"/>
          <w:color w:val="000000"/>
        </w:rPr>
        <w:t>f</w:t>
      </w:r>
      <w:r w:rsidR="00112A7C" w:rsidRPr="0068442A">
        <w:rPr>
          <w:rFonts w:ascii="Times New Roman" w:hAnsi="Times New Roman" w:cs="Times New Roman"/>
          <w:color w:val="000000"/>
        </w:rPr>
        <w:t xml:space="preserve">irstly, </w:t>
      </w:r>
      <w:r w:rsidR="00112A7C" w:rsidRPr="0068442A">
        <w:rPr>
          <w:rFonts w:ascii="Times New Roman" w:hAnsi="Times New Roman" w:cs="Times New Roman"/>
        </w:rPr>
        <w:t xml:space="preserve">the audio recordings of the interviews were transcribed verbatim, after which </w:t>
      </w:r>
      <w:r w:rsidR="00112A7C" w:rsidRPr="0068442A">
        <w:rPr>
          <w:rFonts w:ascii="Times New Roman" w:hAnsi="Times New Roman" w:cs="Times New Roman"/>
          <w:color w:val="000000"/>
        </w:rPr>
        <w:t>the researchers read all of the texts, made notes in the margins, and formed initial codes while highlighting the more significant st</w:t>
      </w:r>
      <w:r w:rsidRPr="0068442A">
        <w:rPr>
          <w:rFonts w:ascii="Times New Roman" w:hAnsi="Times New Roman" w:cs="Times New Roman"/>
          <w:color w:val="000000"/>
        </w:rPr>
        <w:t>atements of participants related to the reform</w:t>
      </w:r>
      <w:r w:rsidR="00112A7C" w:rsidRPr="0068442A">
        <w:rPr>
          <w:rFonts w:ascii="Times New Roman" w:hAnsi="Times New Roman" w:cs="Times New Roman"/>
          <w:color w:val="000000"/>
        </w:rPr>
        <w:t>.</w:t>
      </w:r>
      <w:r w:rsidR="00CC2DA9" w:rsidRPr="0068442A">
        <w:rPr>
          <w:rFonts w:ascii="Times New Roman" w:hAnsi="Times New Roman" w:cs="Times New Roman"/>
        </w:rPr>
        <w:t xml:space="preserve"> There were around 10</w:t>
      </w:r>
      <w:r w:rsidR="00240AB5" w:rsidRPr="0068442A">
        <w:rPr>
          <w:rFonts w:ascii="Times New Roman" w:hAnsi="Times New Roman" w:cs="Times New Roman"/>
        </w:rPr>
        <w:t>–</w:t>
      </w:r>
      <w:r w:rsidR="00CC2DA9" w:rsidRPr="0068442A">
        <w:rPr>
          <w:rFonts w:ascii="Times New Roman" w:hAnsi="Times New Roman" w:cs="Times New Roman"/>
        </w:rPr>
        <w:t>15 codes extracted from the data</w:t>
      </w:r>
      <w:r w:rsidR="002E5165" w:rsidRPr="0068442A">
        <w:rPr>
          <w:rFonts w:ascii="Times New Roman" w:hAnsi="Times New Roman" w:cs="Times New Roman"/>
        </w:rPr>
        <w:t>,</w:t>
      </w:r>
      <w:r w:rsidR="00CC2DA9" w:rsidRPr="0068442A">
        <w:rPr>
          <w:rFonts w:ascii="Times New Roman" w:hAnsi="Times New Roman" w:cs="Times New Roman"/>
        </w:rPr>
        <w:t xml:space="preserve"> such as: single sex education, </w:t>
      </w:r>
      <w:r w:rsidR="001B3D99" w:rsidRPr="0068442A">
        <w:rPr>
          <w:rFonts w:ascii="Times New Roman" w:hAnsi="Times New Roman" w:cs="Times New Roman"/>
        </w:rPr>
        <w:t xml:space="preserve">promoting </w:t>
      </w:r>
      <w:r w:rsidR="00CC2DA9" w:rsidRPr="0068442A">
        <w:rPr>
          <w:rFonts w:ascii="Times New Roman" w:hAnsi="Times New Roman" w:cs="Times New Roman"/>
        </w:rPr>
        <w:t>girls</w:t>
      </w:r>
      <w:r w:rsidR="001B3D99" w:rsidRPr="0068442A">
        <w:rPr>
          <w:rFonts w:ascii="Times New Roman" w:hAnsi="Times New Roman" w:cs="Times New Roman"/>
        </w:rPr>
        <w:t>’ education</w:t>
      </w:r>
      <w:r w:rsidR="00CC2DA9" w:rsidRPr="0068442A">
        <w:rPr>
          <w:rFonts w:ascii="Times New Roman" w:hAnsi="Times New Roman" w:cs="Times New Roman"/>
        </w:rPr>
        <w:t>, gender policy</w:t>
      </w:r>
      <w:r w:rsidR="001B3D99" w:rsidRPr="0068442A">
        <w:rPr>
          <w:rFonts w:ascii="Times New Roman" w:hAnsi="Times New Roman" w:cs="Times New Roman"/>
        </w:rPr>
        <w:t>, mix</w:t>
      </w:r>
      <w:r w:rsidR="00E3010B" w:rsidRPr="0068442A">
        <w:rPr>
          <w:rFonts w:ascii="Times New Roman" w:hAnsi="Times New Roman" w:cs="Times New Roman"/>
        </w:rPr>
        <w:t>ed</w:t>
      </w:r>
      <w:r w:rsidR="00490F5A" w:rsidRPr="0068442A">
        <w:rPr>
          <w:rFonts w:ascii="Times New Roman" w:hAnsi="Times New Roman" w:cs="Times New Roman"/>
        </w:rPr>
        <w:t>-</w:t>
      </w:r>
      <w:r w:rsidR="001B3D99" w:rsidRPr="0068442A">
        <w:rPr>
          <w:rFonts w:ascii="Times New Roman" w:hAnsi="Times New Roman" w:cs="Times New Roman"/>
        </w:rPr>
        <w:t>gender relations,</w:t>
      </w:r>
      <w:r w:rsidR="00CC2DA9" w:rsidRPr="0068442A">
        <w:rPr>
          <w:rFonts w:ascii="Times New Roman" w:hAnsi="Times New Roman" w:cs="Times New Roman"/>
        </w:rPr>
        <w:t xml:space="preserve"> and cultural values. The coding allowed the researchers to </w:t>
      </w:r>
      <w:r w:rsidR="006569EA" w:rsidRPr="0068442A">
        <w:rPr>
          <w:rFonts w:ascii="Times New Roman" w:hAnsi="Times New Roman" w:cs="Times New Roman"/>
        </w:rPr>
        <w:t>establish</w:t>
      </w:r>
      <w:r w:rsidR="00CC2DA9" w:rsidRPr="0068442A">
        <w:rPr>
          <w:rFonts w:ascii="Times New Roman" w:hAnsi="Times New Roman" w:cs="Times New Roman"/>
        </w:rPr>
        <w:t xml:space="preserve"> the </w:t>
      </w:r>
      <w:r w:rsidR="00CC2DA9" w:rsidRPr="0068442A">
        <w:rPr>
          <w:rFonts w:ascii="Times New Roman" w:hAnsi="Times New Roman" w:cs="Times New Roman"/>
        </w:rPr>
        <w:lastRenderedPageBreak/>
        <w:t>themes</w:t>
      </w:r>
      <w:r w:rsidR="006569EA" w:rsidRPr="0068442A">
        <w:rPr>
          <w:rFonts w:ascii="Times New Roman" w:hAnsi="Times New Roman" w:cs="Times New Roman"/>
        </w:rPr>
        <w:t>,</w:t>
      </w:r>
      <w:r w:rsidR="00CC2DA9" w:rsidRPr="0068442A">
        <w:rPr>
          <w:rFonts w:ascii="Times New Roman" w:hAnsi="Times New Roman" w:cs="Times New Roman"/>
        </w:rPr>
        <w:t xml:space="preserve"> such as </w:t>
      </w:r>
      <w:r w:rsidR="00DB7261" w:rsidRPr="0068442A">
        <w:rPr>
          <w:rFonts w:ascii="Times New Roman" w:hAnsi="Times New Roman" w:cs="Times New Roman"/>
        </w:rPr>
        <w:t xml:space="preserve">the </w:t>
      </w:r>
      <w:r w:rsidR="00CC2DA9" w:rsidRPr="0068442A">
        <w:rPr>
          <w:rFonts w:ascii="Times New Roman" w:hAnsi="Times New Roman" w:cs="Times New Roman"/>
        </w:rPr>
        <w:t>understanding of gender equality</w:t>
      </w:r>
      <w:r w:rsidRPr="0068442A">
        <w:rPr>
          <w:rFonts w:ascii="Times New Roman" w:hAnsi="Times New Roman" w:cs="Times New Roman"/>
        </w:rPr>
        <w:t>, conversion factors</w:t>
      </w:r>
      <w:r w:rsidR="00CC2DA9" w:rsidRPr="0068442A">
        <w:rPr>
          <w:rFonts w:ascii="Times New Roman" w:hAnsi="Times New Roman" w:cs="Times New Roman"/>
        </w:rPr>
        <w:t xml:space="preserve"> and girls’ capabilities</w:t>
      </w:r>
      <w:r w:rsidRPr="0068442A">
        <w:rPr>
          <w:rFonts w:ascii="Times New Roman" w:hAnsi="Times New Roman" w:cs="Times New Roman"/>
        </w:rPr>
        <w:t xml:space="preserve"> and </w:t>
      </w:r>
      <w:r w:rsidR="00112A7C" w:rsidRPr="0068442A">
        <w:rPr>
          <w:rFonts w:ascii="Times New Roman" w:hAnsi="Times New Roman" w:cs="Times New Roman"/>
        </w:rPr>
        <w:t>provided a comprehensive analysis of girls’ schooling from a capabilities approach and freedoms perspective by scrutini</w:t>
      </w:r>
      <w:r w:rsidR="0050617E" w:rsidRPr="0068442A">
        <w:rPr>
          <w:rFonts w:ascii="Times New Roman" w:hAnsi="Times New Roman" w:cs="Times New Roman"/>
        </w:rPr>
        <w:t>s</w:t>
      </w:r>
      <w:r w:rsidR="00112A7C" w:rsidRPr="0068442A">
        <w:rPr>
          <w:rFonts w:ascii="Times New Roman" w:hAnsi="Times New Roman" w:cs="Times New Roman"/>
        </w:rPr>
        <w:t>ing the 4+ reform and its effects on girls’ schooling. The body of available literature on the 4+ reform</w:t>
      </w:r>
      <w:r w:rsidR="001B3D99" w:rsidRPr="0068442A">
        <w:rPr>
          <w:rFonts w:ascii="Times New Roman" w:hAnsi="Times New Roman" w:cs="Times New Roman"/>
        </w:rPr>
        <w:t xml:space="preserve"> also</w:t>
      </w:r>
      <w:r w:rsidR="00112A7C" w:rsidRPr="0068442A">
        <w:rPr>
          <w:rFonts w:ascii="Times New Roman" w:hAnsi="Times New Roman" w:cs="Times New Roman"/>
        </w:rPr>
        <w:t xml:space="preserve"> offered </w:t>
      </w:r>
      <w:r w:rsidR="00A7385F" w:rsidRPr="0068442A">
        <w:rPr>
          <w:rFonts w:ascii="Times New Roman" w:hAnsi="Times New Roman" w:cs="Times New Roman"/>
        </w:rPr>
        <w:t xml:space="preserve">a </w:t>
      </w:r>
      <w:r w:rsidR="00112A7C" w:rsidRPr="0068442A">
        <w:rPr>
          <w:rFonts w:ascii="Times New Roman" w:hAnsi="Times New Roman" w:cs="Times New Roman"/>
        </w:rPr>
        <w:t xml:space="preserve">few codes for the analysis, so the </w:t>
      </w:r>
      <w:r w:rsidR="00112A7C" w:rsidRPr="0068442A">
        <w:rPr>
          <w:rFonts w:ascii="Times New Roman" w:hAnsi="Times New Roman" w:cs="Times New Roman"/>
          <w:color w:val="000000"/>
        </w:rPr>
        <w:t xml:space="preserve">coding process </w:t>
      </w:r>
      <w:r w:rsidR="00112A7C" w:rsidRPr="0068442A">
        <w:rPr>
          <w:rFonts w:ascii="Times New Roman" w:hAnsi="Times New Roman" w:cs="Times New Roman"/>
        </w:rPr>
        <w:t xml:space="preserve">employed emerging codes </w:t>
      </w:r>
      <w:r w:rsidR="00112A7C" w:rsidRPr="0068442A">
        <w:rPr>
          <w:rFonts w:ascii="Times New Roman" w:hAnsi="Times New Roman" w:cs="Times New Roman"/>
          <w:color w:val="000000"/>
        </w:rPr>
        <w:t>in order to determine the relevant statements</w:t>
      </w:r>
      <w:r w:rsidR="00112A7C" w:rsidRPr="0068442A">
        <w:rPr>
          <w:rFonts w:ascii="Times New Roman" w:hAnsi="Times New Roman" w:cs="Times New Roman"/>
        </w:rPr>
        <w:t>. In the subsequent stage, the meaning or meaning units were listed, and the overlapping and repetitive statements were removed so that clusters and themes appeared</w:t>
      </w:r>
      <w:r w:rsidR="00F62857" w:rsidRPr="0068442A">
        <w:rPr>
          <w:rFonts w:ascii="Times New Roman" w:hAnsi="Times New Roman" w:cs="Times New Roman"/>
        </w:rPr>
        <w:t>.</w:t>
      </w:r>
      <w:r w:rsidR="00ED15AE" w:rsidRPr="0068442A">
        <w:rPr>
          <w:rFonts w:ascii="Times New Roman" w:hAnsi="Times New Roman" w:cs="Times New Roman"/>
        </w:rPr>
        <w:t xml:space="preserve"> </w:t>
      </w:r>
      <w:r w:rsidR="00CC1E64" w:rsidRPr="0068442A">
        <w:rPr>
          <w:rFonts w:ascii="Times New Roman" w:hAnsi="Times New Roman" w:cs="Times New Roman"/>
        </w:rPr>
        <w:t xml:space="preserve">In summary, the data analysis involved examining </w:t>
      </w:r>
      <w:r w:rsidR="00CC1E64" w:rsidRPr="0068442A">
        <w:rPr>
          <w:rFonts w:ascii="Times New Roman" w:hAnsi="Times New Roman" w:cs="Times New Roman"/>
          <w:color w:val="000000"/>
        </w:rPr>
        <w:t>the data, categori</w:t>
      </w:r>
      <w:r w:rsidR="0050617E" w:rsidRPr="0068442A">
        <w:rPr>
          <w:rFonts w:ascii="Times New Roman" w:hAnsi="Times New Roman" w:cs="Times New Roman"/>
          <w:color w:val="000000"/>
        </w:rPr>
        <w:t>s</w:t>
      </w:r>
      <w:r w:rsidR="00CC1E64" w:rsidRPr="0068442A">
        <w:rPr>
          <w:rFonts w:ascii="Times New Roman" w:hAnsi="Times New Roman" w:cs="Times New Roman"/>
          <w:color w:val="000000"/>
        </w:rPr>
        <w:t xml:space="preserve">ing the sets of data, grouping the sets into similar dimensions and naming them, while extracting the meaning units and emerging themes. The most representative quotations were selected and translated into English. </w:t>
      </w:r>
    </w:p>
    <w:p w14:paraId="619259C8" w14:textId="77777777" w:rsidR="008A0E3D" w:rsidRPr="0068442A" w:rsidRDefault="008A0E3D" w:rsidP="00BF1E10">
      <w:pPr>
        <w:spacing w:line="360" w:lineRule="auto"/>
        <w:jc w:val="both"/>
        <w:rPr>
          <w:rFonts w:ascii="Times New Roman" w:hAnsi="Times New Roman" w:cs="Times New Roman"/>
          <w:b/>
        </w:rPr>
      </w:pPr>
    </w:p>
    <w:p w14:paraId="11A1A85B" w14:textId="61A2017A" w:rsidR="00601B09" w:rsidRPr="0068442A" w:rsidRDefault="00A937B5" w:rsidP="00BF1E10">
      <w:pPr>
        <w:spacing w:line="360" w:lineRule="auto"/>
        <w:jc w:val="both"/>
        <w:rPr>
          <w:rFonts w:ascii="Times New Roman" w:hAnsi="Times New Roman" w:cs="Times New Roman"/>
          <w:b/>
        </w:rPr>
      </w:pPr>
      <w:r w:rsidRPr="0068442A">
        <w:rPr>
          <w:rFonts w:ascii="Times New Roman" w:hAnsi="Times New Roman" w:cs="Times New Roman"/>
          <w:b/>
        </w:rPr>
        <w:t>Results</w:t>
      </w:r>
    </w:p>
    <w:p w14:paraId="61FB68EC" w14:textId="7FA7130E" w:rsidR="009E5ED1" w:rsidRPr="0068442A" w:rsidRDefault="00A937B5" w:rsidP="00BF1E10">
      <w:pPr>
        <w:spacing w:after="200" w:line="360" w:lineRule="auto"/>
        <w:jc w:val="both"/>
        <w:rPr>
          <w:rFonts w:ascii="Times New Roman" w:hAnsi="Times New Roman" w:cs="Times New Roman"/>
          <w:b/>
          <w:i/>
        </w:rPr>
      </w:pPr>
      <w:r w:rsidRPr="0068442A">
        <w:rPr>
          <w:rFonts w:ascii="Times New Roman" w:hAnsi="Times New Roman" w:cs="Times New Roman"/>
          <w:b/>
          <w:i/>
        </w:rPr>
        <w:t>Scrutinising the Rationale of the Reform: A</w:t>
      </w:r>
      <w:r w:rsidR="009E5ED1" w:rsidRPr="0068442A">
        <w:rPr>
          <w:rFonts w:ascii="Times New Roman" w:hAnsi="Times New Roman" w:cs="Times New Roman"/>
          <w:b/>
          <w:i/>
        </w:rPr>
        <w:t xml:space="preserve"> </w:t>
      </w:r>
      <w:r w:rsidRPr="0068442A">
        <w:rPr>
          <w:rFonts w:ascii="Times New Roman" w:hAnsi="Times New Roman" w:cs="Times New Roman"/>
          <w:b/>
          <w:i/>
        </w:rPr>
        <w:t>L</w:t>
      </w:r>
      <w:r w:rsidR="00FD3E75" w:rsidRPr="0068442A">
        <w:rPr>
          <w:rFonts w:ascii="Times New Roman" w:hAnsi="Times New Roman" w:cs="Times New Roman"/>
          <w:b/>
          <w:i/>
        </w:rPr>
        <w:t xml:space="preserve">imited and </w:t>
      </w:r>
      <w:r w:rsidRPr="0068442A">
        <w:rPr>
          <w:rFonts w:ascii="Times New Roman" w:hAnsi="Times New Roman" w:cs="Times New Roman"/>
          <w:b/>
          <w:i/>
        </w:rPr>
        <w:t>F</w:t>
      </w:r>
      <w:r w:rsidR="00FD3E75" w:rsidRPr="0068442A">
        <w:rPr>
          <w:rFonts w:ascii="Times New Roman" w:hAnsi="Times New Roman" w:cs="Times New Roman"/>
          <w:b/>
          <w:i/>
        </w:rPr>
        <w:t>ragmented</w:t>
      </w:r>
      <w:r w:rsidRPr="0068442A">
        <w:rPr>
          <w:rFonts w:ascii="Times New Roman" w:hAnsi="Times New Roman" w:cs="Times New Roman"/>
          <w:b/>
          <w:i/>
        </w:rPr>
        <w:t xml:space="preserve"> Understanding of Gender E</w:t>
      </w:r>
      <w:r w:rsidR="009E5ED1" w:rsidRPr="0068442A">
        <w:rPr>
          <w:rFonts w:ascii="Times New Roman" w:hAnsi="Times New Roman" w:cs="Times New Roman"/>
          <w:b/>
          <w:i/>
        </w:rPr>
        <w:t>quality</w:t>
      </w:r>
    </w:p>
    <w:p w14:paraId="095FB812" w14:textId="3D991C24" w:rsidR="002B18D4" w:rsidRPr="0068442A" w:rsidRDefault="00AB432B" w:rsidP="00BF1E10">
      <w:pPr>
        <w:spacing w:line="360" w:lineRule="auto"/>
        <w:jc w:val="both"/>
        <w:rPr>
          <w:rFonts w:ascii="Times New Roman" w:hAnsi="Times New Roman" w:cs="Times New Roman"/>
        </w:rPr>
      </w:pPr>
      <w:r w:rsidRPr="0068442A">
        <w:rPr>
          <w:rFonts w:ascii="Times New Roman" w:hAnsi="Times New Roman" w:cs="Times New Roman"/>
        </w:rPr>
        <w:t>Drawing</w:t>
      </w:r>
      <w:r w:rsidR="002B18D4" w:rsidRPr="0068442A">
        <w:rPr>
          <w:rFonts w:ascii="Times New Roman" w:hAnsi="Times New Roman" w:cs="Times New Roman"/>
        </w:rPr>
        <w:t xml:space="preserve"> on the interviews cond</w:t>
      </w:r>
      <w:r w:rsidR="002F5B0C" w:rsidRPr="0068442A">
        <w:rPr>
          <w:rFonts w:ascii="Times New Roman" w:hAnsi="Times New Roman" w:cs="Times New Roman"/>
        </w:rPr>
        <w:t xml:space="preserve">ucted with </w:t>
      </w:r>
      <w:r w:rsidR="00512F47" w:rsidRPr="0068442A">
        <w:rPr>
          <w:rFonts w:ascii="Times New Roman" w:hAnsi="Times New Roman" w:cs="Times New Roman"/>
        </w:rPr>
        <w:t>stakeholders</w:t>
      </w:r>
      <w:r w:rsidR="002B18D4" w:rsidRPr="0068442A">
        <w:rPr>
          <w:rFonts w:ascii="Times New Roman" w:hAnsi="Times New Roman" w:cs="Times New Roman"/>
        </w:rPr>
        <w:t xml:space="preserve"> as the key actors who have been involved both in </w:t>
      </w:r>
      <w:r w:rsidR="00562597" w:rsidRPr="0068442A">
        <w:rPr>
          <w:rFonts w:ascii="Times New Roman" w:hAnsi="Times New Roman" w:cs="Times New Roman"/>
        </w:rPr>
        <w:t xml:space="preserve">the </w:t>
      </w:r>
      <w:r w:rsidR="002B18D4" w:rsidRPr="0068442A">
        <w:rPr>
          <w:rFonts w:ascii="Times New Roman" w:hAnsi="Times New Roman" w:cs="Times New Roman"/>
        </w:rPr>
        <w:t>deliberation and policy</w:t>
      </w:r>
      <w:r w:rsidR="00562597" w:rsidRPr="0068442A">
        <w:rPr>
          <w:rFonts w:ascii="Times New Roman" w:hAnsi="Times New Roman" w:cs="Times New Roman"/>
        </w:rPr>
        <w:t>-</w:t>
      </w:r>
      <w:r w:rsidRPr="0068442A">
        <w:rPr>
          <w:rFonts w:ascii="Times New Roman" w:hAnsi="Times New Roman" w:cs="Times New Roman"/>
        </w:rPr>
        <w:t xml:space="preserve">making process of the reform, we aimed to highlight </w:t>
      </w:r>
      <w:r w:rsidR="00485FA1" w:rsidRPr="0068442A">
        <w:rPr>
          <w:rFonts w:ascii="Times New Roman" w:hAnsi="Times New Roman" w:cs="Times New Roman"/>
        </w:rPr>
        <w:t>how stakeholders approach and understand gender equality within this reform</w:t>
      </w:r>
      <w:r w:rsidR="00027BB4" w:rsidRPr="0068442A">
        <w:rPr>
          <w:rFonts w:ascii="Times New Roman" w:hAnsi="Times New Roman" w:cs="Times New Roman"/>
        </w:rPr>
        <w:t>,</w:t>
      </w:r>
      <w:r w:rsidR="00485FA1" w:rsidRPr="0068442A">
        <w:rPr>
          <w:rFonts w:ascii="Times New Roman" w:hAnsi="Times New Roman" w:cs="Times New Roman"/>
        </w:rPr>
        <w:t xml:space="preserve"> or to what extent gender equality was given a p</w:t>
      </w:r>
      <w:r w:rsidR="00022EE2" w:rsidRPr="0068442A">
        <w:rPr>
          <w:rFonts w:ascii="Times New Roman" w:hAnsi="Times New Roman" w:cs="Times New Roman"/>
        </w:rPr>
        <w:t>riority in the policy goals. The interviews show</w:t>
      </w:r>
      <w:r w:rsidR="00562597" w:rsidRPr="0068442A">
        <w:rPr>
          <w:rFonts w:ascii="Times New Roman" w:hAnsi="Times New Roman" w:cs="Times New Roman"/>
        </w:rPr>
        <w:t>ed</w:t>
      </w:r>
      <w:r w:rsidR="00864AC5" w:rsidRPr="0068442A">
        <w:rPr>
          <w:rFonts w:ascii="Times New Roman" w:hAnsi="Times New Roman" w:cs="Times New Roman"/>
        </w:rPr>
        <w:t xml:space="preserve"> that there is a limited understanding o</w:t>
      </w:r>
      <w:r w:rsidR="00562597" w:rsidRPr="0068442A">
        <w:rPr>
          <w:rFonts w:ascii="Times New Roman" w:hAnsi="Times New Roman" w:cs="Times New Roman"/>
        </w:rPr>
        <w:t>f</w:t>
      </w:r>
      <w:r w:rsidR="00864AC5" w:rsidRPr="0068442A">
        <w:rPr>
          <w:rFonts w:ascii="Times New Roman" w:hAnsi="Times New Roman" w:cs="Times New Roman"/>
        </w:rPr>
        <w:t xml:space="preserve"> gender equality among th</w:t>
      </w:r>
      <w:r w:rsidR="00485FA1" w:rsidRPr="0068442A">
        <w:rPr>
          <w:rFonts w:ascii="Times New Roman" w:hAnsi="Times New Roman" w:cs="Times New Roman"/>
        </w:rPr>
        <w:t xml:space="preserve">e key </w:t>
      </w:r>
      <w:r w:rsidR="00022EE2" w:rsidRPr="0068442A">
        <w:rPr>
          <w:rFonts w:ascii="Times New Roman" w:hAnsi="Times New Roman" w:cs="Times New Roman"/>
        </w:rPr>
        <w:t>actors, which</w:t>
      </w:r>
      <w:r w:rsidR="00485FA1" w:rsidRPr="0068442A">
        <w:rPr>
          <w:rFonts w:ascii="Times New Roman" w:hAnsi="Times New Roman" w:cs="Times New Roman"/>
        </w:rPr>
        <w:t xml:space="preserve"> rests on numerical parity</w:t>
      </w:r>
      <w:r w:rsidRPr="0068442A">
        <w:rPr>
          <w:rFonts w:ascii="Times New Roman" w:hAnsi="Times New Roman" w:cs="Times New Roman"/>
        </w:rPr>
        <w:t xml:space="preserve"> and increasing </w:t>
      </w:r>
      <w:r w:rsidR="00A45405">
        <w:rPr>
          <w:rFonts w:ascii="Times New Roman" w:hAnsi="Times New Roman" w:cs="Times New Roman"/>
        </w:rPr>
        <w:t xml:space="preserve">the </w:t>
      </w:r>
      <w:r w:rsidRPr="0068442A">
        <w:rPr>
          <w:rFonts w:ascii="Times New Roman" w:hAnsi="Times New Roman" w:cs="Times New Roman"/>
        </w:rPr>
        <w:t>enrolment of girls</w:t>
      </w:r>
      <w:r w:rsidR="00485FA1" w:rsidRPr="0068442A">
        <w:rPr>
          <w:rFonts w:ascii="Times New Roman" w:hAnsi="Times New Roman" w:cs="Times New Roman"/>
        </w:rPr>
        <w:t xml:space="preserve"> as the</w:t>
      </w:r>
      <w:r w:rsidRPr="0068442A">
        <w:rPr>
          <w:rFonts w:ascii="Times New Roman" w:hAnsi="Times New Roman" w:cs="Times New Roman"/>
        </w:rPr>
        <w:t xml:space="preserve"> sole </w:t>
      </w:r>
      <w:r w:rsidR="00A45405">
        <w:rPr>
          <w:rFonts w:ascii="Times New Roman" w:hAnsi="Times New Roman" w:cs="Times New Roman"/>
        </w:rPr>
        <w:t>indication of</w:t>
      </w:r>
      <w:r w:rsidR="00A45405" w:rsidRPr="0068442A">
        <w:rPr>
          <w:rFonts w:ascii="Times New Roman" w:hAnsi="Times New Roman" w:cs="Times New Roman"/>
        </w:rPr>
        <w:t xml:space="preserve"> </w:t>
      </w:r>
      <w:r w:rsidRPr="0068442A">
        <w:rPr>
          <w:rFonts w:ascii="Times New Roman" w:hAnsi="Times New Roman" w:cs="Times New Roman"/>
        </w:rPr>
        <w:t>gender equality. Therefore,</w:t>
      </w:r>
      <w:r w:rsidR="00210CC4" w:rsidRPr="0068442A">
        <w:rPr>
          <w:rFonts w:ascii="Times New Roman" w:hAnsi="Times New Roman" w:cs="Times New Roman"/>
        </w:rPr>
        <w:t xml:space="preserve"> </w:t>
      </w:r>
      <w:r w:rsidR="00562597" w:rsidRPr="0068442A">
        <w:rPr>
          <w:rFonts w:ascii="Times New Roman" w:hAnsi="Times New Roman" w:cs="Times New Roman"/>
        </w:rPr>
        <w:t xml:space="preserve">the </w:t>
      </w:r>
      <w:r w:rsidR="00D6076F" w:rsidRPr="0068442A">
        <w:rPr>
          <w:rFonts w:ascii="Times New Roman" w:hAnsi="Times New Roman" w:cs="Times New Roman"/>
        </w:rPr>
        <w:t>lift</w:t>
      </w:r>
      <w:r w:rsidR="00562597" w:rsidRPr="0068442A">
        <w:rPr>
          <w:rFonts w:ascii="Times New Roman" w:hAnsi="Times New Roman" w:cs="Times New Roman"/>
        </w:rPr>
        <w:t>ing</w:t>
      </w:r>
      <w:r w:rsidR="00D6076F" w:rsidRPr="0068442A">
        <w:rPr>
          <w:rFonts w:ascii="Times New Roman" w:hAnsi="Times New Roman" w:cs="Times New Roman"/>
        </w:rPr>
        <w:t xml:space="preserve"> of</w:t>
      </w:r>
      <w:r w:rsidR="00496C27" w:rsidRPr="0068442A">
        <w:rPr>
          <w:rFonts w:ascii="Times New Roman" w:hAnsi="Times New Roman" w:cs="Times New Roman"/>
        </w:rPr>
        <w:t xml:space="preserve"> </w:t>
      </w:r>
      <w:r w:rsidR="00562597" w:rsidRPr="0068442A">
        <w:rPr>
          <w:rFonts w:ascii="Times New Roman" w:hAnsi="Times New Roman" w:cs="Times New Roman"/>
        </w:rPr>
        <w:t xml:space="preserve">the </w:t>
      </w:r>
      <w:r w:rsidR="00496C27" w:rsidRPr="0068442A">
        <w:rPr>
          <w:rFonts w:ascii="Times New Roman" w:hAnsi="Times New Roman" w:cs="Times New Roman"/>
        </w:rPr>
        <w:t>headscarf ban at</w:t>
      </w:r>
      <w:r w:rsidR="006B096A" w:rsidRPr="0068442A">
        <w:rPr>
          <w:rFonts w:ascii="Times New Roman" w:hAnsi="Times New Roman" w:cs="Times New Roman"/>
        </w:rPr>
        <w:t xml:space="preserve"> every level of school</w:t>
      </w:r>
      <w:r w:rsidR="00496C27" w:rsidRPr="0068442A">
        <w:rPr>
          <w:rFonts w:ascii="Times New Roman" w:hAnsi="Times New Roman" w:cs="Times New Roman"/>
        </w:rPr>
        <w:t>ing</w:t>
      </w:r>
      <w:r w:rsidR="00F15DCC" w:rsidRPr="0068442A">
        <w:rPr>
          <w:rFonts w:ascii="Times New Roman" w:hAnsi="Times New Roman" w:cs="Times New Roman"/>
        </w:rPr>
        <w:t>—</w:t>
      </w:r>
      <w:r w:rsidR="006B096A" w:rsidRPr="0068442A">
        <w:rPr>
          <w:rFonts w:ascii="Times New Roman" w:hAnsi="Times New Roman" w:cs="Times New Roman"/>
        </w:rPr>
        <w:t>including primary school</w:t>
      </w:r>
      <w:r w:rsidR="00F15DCC" w:rsidRPr="0068442A">
        <w:rPr>
          <w:rFonts w:ascii="Times New Roman" w:hAnsi="Times New Roman" w:cs="Times New Roman"/>
        </w:rPr>
        <w:t>—</w:t>
      </w:r>
      <w:r w:rsidR="006B096A" w:rsidRPr="0068442A">
        <w:rPr>
          <w:rFonts w:ascii="Times New Roman" w:hAnsi="Times New Roman" w:cs="Times New Roman"/>
        </w:rPr>
        <w:t xml:space="preserve">and </w:t>
      </w:r>
      <w:r w:rsidR="00562597" w:rsidRPr="0068442A">
        <w:rPr>
          <w:rFonts w:ascii="Times New Roman" w:hAnsi="Times New Roman" w:cs="Times New Roman"/>
        </w:rPr>
        <w:t xml:space="preserve">the establishment of </w:t>
      </w:r>
      <w:r w:rsidR="00496C27" w:rsidRPr="0068442A">
        <w:rPr>
          <w:rFonts w:ascii="Times New Roman" w:hAnsi="Times New Roman" w:cs="Times New Roman"/>
        </w:rPr>
        <w:t xml:space="preserve">more </w:t>
      </w:r>
      <w:r w:rsidR="00562597" w:rsidRPr="0068442A">
        <w:rPr>
          <w:rFonts w:ascii="Times New Roman" w:hAnsi="Times New Roman" w:cs="Times New Roman"/>
        </w:rPr>
        <w:t xml:space="preserve">accessible </w:t>
      </w:r>
      <w:r w:rsidR="00496C27" w:rsidRPr="0068442A">
        <w:rPr>
          <w:rFonts w:ascii="Times New Roman" w:hAnsi="Times New Roman" w:cs="Times New Roman"/>
        </w:rPr>
        <w:t>religious schools (</w:t>
      </w:r>
      <w:r w:rsidR="00496C27" w:rsidRPr="0068442A">
        <w:rPr>
          <w:rFonts w:ascii="Times New Roman" w:hAnsi="Times New Roman" w:cs="Times New Roman"/>
          <w:i/>
        </w:rPr>
        <w:t>imam hatip</w:t>
      </w:r>
      <w:r w:rsidR="00496C27" w:rsidRPr="0068442A">
        <w:rPr>
          <w:rFonts w:ascii="Times New Roman" w:hAnsi="Times New Roman" w:cs="Times New Roman"/>
        </w:rPr>
        <w:t xml:space="preserve"> schools)</w:t>
      </w:r>
      <w:r w:rsidR="00C025BA" w:rsidRPr="0068442A">
        <w:rPr>
          <w:rFonts w:ascii="Times New Roman" w:hAnsi="Times New Roman" w:cs="Times New Roman"/>
        </w:rPr>
        <w:t xml:space="preserve"> </w:t>
      </w:r>
      <w:r w:rsidR="00496C27" w:rsidRPr="0068442A">
        <w:rPr>
          <w:rFonts w:ascii="Times New Roman" w:hAnsi="Times New Roman" w:cs="Times New Roman"/>
        </w:rPr>
        <w:t>were</w:t>
      </w:r>
      <w:r w:rsidR="006B096A" w:rsidRPr="0068442A">
        <w:rPr>
          <w:rFonts w:ascii="Times New Roman" w:hAnsi="Times New Roman" w:cs="Times New Roman"/>
        </w:rPr>
        <w:t xml:space="preserve"> seen as a significant step in exp</w:t>
      </w:r>
      <w:r w:rsidR="00210CC4" w:rsidRPr="0068442A">
        <w:rPr>
          <w:rFonts w:ascii="Times New Roman" w:hAnsi="Times New Roman" w:cs="Times New Roman"/>
        </w:rPr>
        <w:t>anding girls’ access to schools and serving the gender equality aims.</w:t>
      </w:r>
    </w:p>
    <w:p w14:paraId="13F974B9" w14:textId="79A6F421" w:rsidR="007F68A7" w:rsidRPr="0068442A" w:rsidRDefault="006B096A" w:rsidP="00BF1E10">
      <w:pPr>
        <w:spacing w:after="200" w:line="360" w:lineRule="auto"/>
        <w:ind w:left="720"/>
        <w:jc w:val="both"/>
        <w:rPr>
          <w:rFonts w:ascii="Times New Roman" w:hAnsi="Times New Roman" w:cs="Times New Roman"/>
        </w:rPr>
      </w:pPr>
      <w:r w:rsidRPr="0068442A">
        <w:rPr>
          <w:rFonts w:ascii="Times New Roman" w:hAnsi="Times New Roman" w:cs="Times New Roman"/>
        </w:rPr>
        <w:t>There are many parents who do</w:t>
      </w:r>
      <w:r w:rsidR="00485FA1" w:rsidRPr="0068442A">
        <w:rPr>
          <w:rFonts w:ascii="Times New Roman" w:hAnsi="Times New Roman" w:cs="Times New Roman"/>
        </w:rPr>
        <w:t xml:space="preserve"> </w:t>
      </w:r>
      <w:r w:rsidRPr="0068442A">
        <w:rPr>
          <w:rFonts w:ascii="Times New Roman" w:hAnsi="Times New Roman" w:cs="Times New Roman"/>
        </w:rPr>
        <w:t xml:space="preserve">not send their children to school due to </w:t>
      </w:r>
      <w:r w:rsidR="00FB1C8C" w:rsidRPr="0068442A">
        <w:rPr>
          <w:rFonts w:ascii="Times New Roman" w:hAnsi="Times New Roman" w:cs="Times New Roman"/>
        </w:rPr>
        <w:t xml:space="preserve">the </w:t>
      </w:r>
      <w:r w:rsidRPr="0068442A">
        <w:rPr>
          <w:rFonts w:ascii="Times New Roman" w:hAnsi="Times New Roman" w:cs="Times New Roman"/>
        </w:rPr>
        <w:t>headscarf ban</w:t>
      </w:r>
      <w:r w:rsidR="00C55BB0" w:rsidRPr="0068442A">
        <w:rPr>
          <w:rFonts w:ascii="Times New Roman" w:hAnsi="Times New Roman" w:cs="Times New Roman"/>
        </w:rPr>
        <w:t>.</w:t>
      </w:r>
      <w:r w:rsidRPr="0068442A">
        <w:rPr>
          <w:rFonts w:ascii="Times New Roman" w:hAnsi="Times New Roman" w:cs="Times New Roman"/>
        </w:rPr>
        <w:t xml:space="preserve"> I worked both in urban and rural areas and keeping girls at home is more common in rural areas. As the number </w:t>
      </w:r>
      <w:r w:rsidR="00C025BA" w:rsidRPr="0068442A">
        <w:rPr>
          <w:rFonts w:ascii="Times New Roman" w:hAnsi="Times New Roman" w:cs="Times New Roman"/>
        </w:rPr>
        <w:t>of religious</w:t>
      </w:r>
      <w:r w:rsidRPr="0068442A">
        <w:rPr>
          <w:rFonts w:ascii="Times New Roman" w:hAnsi="Times New Roman" w:cs="Times New Roman"/>
        </w:rPr>
        <w:t xml:space="preserve"> schools increase</w:t>
      </w:r>
      <w:r w:rsidR="00FB1C8C" w:rsidRPr="0068442A">
        <w:rPr>
          <w:rFonts w:ascii="Times New Roman" w:hAnsi="Times New Roman" w:cs="Times New Roman"/>
        </w:rPr>
        <w:t>s</w:t>
      </w:r>
      <w:r w:rsidR="00210CC4" w:rsidRPr="0068442A">
        <w:rPr>
          <w:rFonts w:ascii="Times New Roman" w:hAnsi="Times New Roman" w:cs="Times New Roman"/>
        </w:rPr>
        <w:t>, the number of girls</w:t>
      </w:r>
      <w:r w:rsidRPr="0068442A">
        <w:rPr>
          <w:rFonts w:ascii="Times New Roman" w:hAnsi="Times New Roman" w:cs="Times New Roman"/>
        </w:rPr>
        <w:t xml:space="preserve"> who attend school increase</w:t>
      </w:r>
      <w:r w:rsidR="00FB1C8C" w:rsidRPr="0068442A">
        <w:rPr>
          <w:rFonts w:ascii="Times New Roman" w:hAnsi="Times New Roman" w:cs="Times New Roman"/>
        </w:rPr>
        <w:t>s,</w:t>
      </w:r>
      <w:r w:rsidRPr="0068442A">
        <w:rPr>
          <w:rFonts w:ascii="Times New Roman" w:hAnsi="Times New Roman" w:cs="Times New Roman"/>
        </w:rPr>
        <w:t xml:space="preserve"> and parents decided to send their daughter</w:t>
      </w:r>
      <w:r w:rsidR="0088782E" w:rsidRPr="0068442A">
        <w:rPr>
          <w:rFonts w:ascii="Times New Roman" w:hAnsi="Times New Roman" w:cs="Times New Roman"/>
        </w:rPr>
        <w:t>s to these school</w:t>
      </w:r>
      <w:r w:rsidR="002D5BE9" w:rsidRPr="0068442A">
        <w:rPr>
          <w:rFonts w:ascii="Times New Roman" w:hAnsi="Times New Roman" w:cs="Times New Roman"/>
        </w:rPr>
        <w:t>s</w:t>
      </w:r>
      <w:r w:rsidR="0088782E" w:rsidRPr="0068442A">
        <w:rPr>
          <w:rFonts w:ascii="Times New Roman" w:hAnsi="Times New Roman" w:cs="Times New Roman"/>
        </w:rPr>
        <w:t xml:space="preserve"> (</w:t>
      </w:r>
      <w:r w:rsidR="00127847" w:rsidRPr="0068442A">
        <w:rPr>
          <w:rFonts w:ascii="Times New Roman" w:hAnsi="Times New Roman" w:cs="Times New Roman"/>
        </w:rPr>
        <w:t>TOU1)</w:t>
      </w:r>
      <w:r w:rsidR="003B2B72" w:rsidRPr="0068442A">
        <w:rPr>
          <w:rFonts w:ascii="Times New Roman" w:hAnsi="Times New Roman" w:cs="Times New Roman"/>
        </w:rPr>
        <w:t>.</w:t>
      </w:r>
    </w:p>
    <w:p w14:paraId="60134796" w14:textId="361AB8C7" w:rsidR="007F68A7" w:rsidRPr="0068442A" w:rsidRDefault="00902A0F" w:rsidP="00D976D0">
      <w:pPr>
        <w:spacing w:after="200" w:line="360" w:lineRule="auto"/>
        <w:ind w:firstLine="720"/>
        <w:jc w:val="both"/>
        <w:rPr>
          <w:rFonts w:ascii="Times New Roman" w:hAnsi="Times New Roman" w:cs="Times New Roman"/>
        </w:rPr>
      </w:pPr>
      <w:r w:rsidRPr="0068442A">
        <w:rPr>
          <w:rFonts w:ascii="Times New Roman" w:hAnsi="Times New Roman" w:cs="Times New Roman"/>
        </w:rPr>
        <w:t>The</w:t>
      </w:r>
      <w:r w:rsidR="00C025BA" w:rsidRPr="0068442A">
        <w:rPr>
          <w:rFonts w:ascii="Times New Roman" w:hAnsi="Times New Roman" w:cs="Times New Roman"/>
        </w:rPr>
        <w:t xml:space="preserve"> new reform </w:t>
      </w:r>
      <w:r w:rsidRPr="0068442A">
        <w:rPr>
          <w:rFonts w:ascii="Times New Roman" w:hAnsi="Times New Roman" w:cs="Times New Roman"/>
        </w:rPr>
        <w:t xml:space="preserve">claimed </w:t>
      </w:r>
      <w:r w:rsidR="00C025BA" w:rsidRPr="0068442A">
        <w:rPr>
          <w:rFonts w:ascii="Times New Roman" w:hAnsi="Times New Roman" w:cs="Times New Roman"/>
        </w:rPr>
        <w:t>to expand</w:t>
      </w:r>
      <w:r w:rsidR="007F68A7" w:rsidRPr="0068442A">
        <w:rPr>
          <w:rFonts w:ascii="Times New Roman" w:hAnsi="Times New Roman" w:cs="Times New Roman"/>
        </w:rPr>
        <w:t xml:space="preserve"> girls’ freedoms and opportunities by abolishing </w:t>
      </w:r>
      <w:r w:rsidRPr="0068442A">
        <w:rPr>
          <w:rFonts w:ascii="Times New Roman" w:hAnsi="Times New Roman" w:cs="Times New Roman"/>
        </w:rPr>
        <w:t xml:space="preserve">the </w:t>
      </w:r>
      <w:r w:rsidR="007F68A7" w:rsidRPr="0068442A">
        <w:rPr>
          <w:rFonts w:ascii="Times New Roman" w:hAnsi="Times New Roman" w:cs="Times New Roman"/>
        </w:rPr>
        <w:t xml:space="preserve">headscarf ban at </w:t>
      </w:r>
      <w:r w:rsidRPr="0068442A">
        <w:rPr>
          <w:rFonts w:ascii="Times New Roman" w:hAnsi="Times New Roman" w:cs="Times New Roman"/>
        </w:rPr>
        <w:t xml:space="preserve">the </w:t>
      </w:r>
      <w:r w:rsidR="007F68A7" w:rsidRPr="0068442A">
        <w:rPr>
          <w:rFonts w:ascii="Times New Roman" w:hAnsi="Times New Roman" w:cs="Times New Roman"/>
        </w:rPr>
        <w:t>primary, secondary</w:t>
      </w:r>
      <w:r w:rsidRPr="0068442A">
        <w:rPr>
          <w:rFonts w:ascii="Times New Roman" w:hAnsi="Times New Roman" w:cs="Times New Roman"/>
        </w:rPr>
        <w:t>,</w:t>
      </w:r>
      <w:r w:rsidR="007F68A7" w:rsidRPr="0068442A">
        <w:rPr>
          <w:rFonts w:ascii="Times New Roman" w:hAnsi="Times New Roman" w:cs="Times New Roman"/>
        </w:rPr>
        <w:t xml:space="preserve"> and high school level of schooling</w:t>
      </w:r>
      <w:r w:rsidRPr="0068442A">
        <w:rPr>
          <w:rFonts w:ascii="Times New Roman" w:hAnsi="Times New Roman" w:cs="Times New Roman"/>
        </w:rPr>
        <w:t>,</w:t>
      </w:r>
      <w:r w:rsidR="007F68A7" w:rsidRPr="0068442A">
        <w:rPr>
          <w:rFonts w:ascii="Times New Roman" w:hAnsi="Times New Roman" w:cs="Times New Roman"/>
        </w:rPr>
        <w:t xml:space="preserve"> thus giving people religious freedom to attend school dressed in a way that they value</w:t>
      </w:r>
      <w:r w:rsidR="002C2506" w:rsidRPr="0068442A">
        <w:rPr>
          <w:rFonts w:ascii="Times New Roman" w:hAnsi="Times New Roman" w:cs="Times New Roman"/>
        </w:rPr>
        <w:t xml:space="preserve">, thereby </w:t>
      </w:r>
      <w:r w:rsidR="007F68A7" w:rsidRPr="0068442A">
        <w:rPr>
          <w:rFonts w:ascii="Times New Roman" w:hAnsi="Times New Roman" w:cs="Times New Roman"/>
        </w:rPr>
        <w:t>reducing the concerns of famil</w:t>
      </w:r>
      <w:r w:rsidRPr="0068442A">
        <w:rPr>
          <w:rFonts w:ascii="Times New Roman" w:hAnsi="Times New Roman" w:cs="Times New Roman"/>
        </w:rPr>
        <w:t>ies</w:t>
      </w:r>
      <w:r w:rsidR="007F68A7" w:rsidRPr="0068442A">
        <w:rPr>
          <w:rFonts w:ascii="Times New Roman" w:hAnsi="Times New Roman" w:cs="Times New Roman"/>
        </w:rPr>
        <w:t xml:space="preserve"> who did not want to send their daughters to school</w:t>
      </w:r>
      <w:r w:rsidRPr="0068442A">
        <w:rPr>
          <w:rFonts w:ascii="Times New Roman" w:hAnsi="Times New Roman" w:cs="Times New Roman"/>
        </w:rPr>
        <w:t>.</w:t>
      </w:r>
      <w:r w:rsidR="00210CC4" w:rsidRPr="0068442A">
        <w:rPr>
          <w:rFonts w:ascii="Times New Roman" w:hAnsi="Times New Roman" w:cs="Times New Roman"/>
        </w:rPr>
        <w:t xml:space="preserve"> The ‘headscarf ban’</w:t>
      </w:r>
      <w:r w:rsidR="0066109E" w:rsidRPr="0068442A">
        <w:rPr>
          <w:rFonts w:ascii="Times New Roman" w:hAnsi="Times New Roman" w:cs="Times New Roman"/>
        </w:rPr>
        <w:t xml:space="preserve"> </w:t>
      </w:r>
      <w:r w:rsidR="00210CC4" w:rsidRPr="0068442A">
        <w:rPr>
          <w:rFonts w:ascii="Times New Roman" w:hAnsi="Times New Roman" w:cs="Times New Roman"/>
        </w:rPr>
        <w:t xml:space="preserve">was a crucial conversion factor that closed the opportunities </w:t>
      </w:r>
      <w:r w:rsidR="00E90B46">
        <w:rPr>
          <w:rFonts w:ascii="Times New Roman" w:hAnsi="Times New Roman" w:cs="Times New Roman"/>
        </w:rPr>
        <w:t>for</w:t>
      </w:r>
      <w:r w:rsidR="00E90B46" w:rsidRPr="0068442A">
        <w:rPr>
          <w:rFonts w:ascii="Times New Roman" w:hAnsi="Times New Roman" w:cs="Times New Roman"/>
        </w:rPr>
        <w:t xml:space="preserve"> </w:t>
      </w:r>
      <w:r w:rsidR="00210CC4" w:rsidRPr="0068442A">
        <w:rPr>
          <w:rFonts w:ascii="Times New Roman" w:hAnsi="Times New Roman" w:cs="Times New Roman"/>
        </w:rPr>
        <w:t>many women and girls to access education and employment for several decades in Turkey</w:t>
      </w:r>
      <w:r w:rsidR="00E90B46">
        <w:rPr>
          <w:rFonts w:ascii="Times New Roman" w:hAnsi="Times New Roman" w:cs="Times New Roman"/>
        </w:rPr>
        <w:t>. However,</w:t>
      </w:r>
      <w:r w:rsidR="00210CC4" w:rsidRPr="0068442A">
        <w:rPr>
          <w:rFonts w:ascii="Times New Roman" w:hAnsi="Times New Roman" w:cs="Times New Roman"/>
        </w:rPr>
        <w:t xml:space="preserve"> </w:t>
      </w:r>
      <w:r w:rsidR="00E90B46">
        <w:rPr>
          <w:rFonts w:ascii="Times New Roman" w:hAnsi="Times New Roman" w:cs="Times New Roman"/>
        </w:rPr>
        <w:t>the</w:t>
      </w:r>
      <w:r w:rsidR="00E90B46" w:rsidRPr="0068442A">
        <w:rPr>
          <w:rFonts w:ascii="Times New Roman" w:hAnsi="Times New Roman" w:cs="Times New Roman"/>
        </w:rPr>
        <w:t xml:space="preserve"> </w:t>
      </w:r>
      <w:r w:rsidR="00210CC4" w:rsidRPr="0068442A">
        <w:rPr>
          <w:rFonts w:ascii="Times New Roman" w:hAnsi="Times New Roman" w:cs="Times New Roman"/>
        </w:rPr>
        <w:t xml:space="preserve">policy makers’ sole focus on ‘access’ </w:t>
      </w:r>
      <w:r w:rsidR="00E90B46">
        <w:rPr>
          <w:rFonts w:ascii="Times New Roman" w:hAnsi="Times New Roman" w:cs="Times New Roman"/>
        </w:rPr>
        <w:t>omits</w:t>
      </w:r>
      <w:r w:rsidR="00210CC4" w:rsidRPr="0068442A">
        <w:rPr>
          <w:rFonts w:ascii="Times New Roman" w:hAnsi="Times New Roman" w:cs="Times New Roman"/>
        </w:rPr>
        <w:t xml:space="preserve"> </w:t>
      </w:r>
      <w:r w:rsidR="00D976D0" w:rsidRPr="0068442A">
        <w:rPr>
          <w:rFonts w:ascii="Times New Roman" w:hAnsi="Times New Roman" w:cs="Times New Roman"/>
        </w:rPr>
        <w:t>the need to think about gender in relation to ‘quality education’</w:t>
      </w:r>
      <w:r w:rsidR="00E90B46">
        <w:rPr>
          <w:rFonts w:ascii="Times New Roman" w:hAnsi="Times New Roman" w:cs="Times New Roman"/>
        </w:rPr>
        <w:t>,</w:t>
      </w:r>
      <w:r w:rsidR="00D976D0" w:rsidRPr="0068442A">
        <w:rPr>
          <w:rFonts w:ascii="Times New Roman" w:hAnsi="Times New Roman" w:cs="Times New Roman"/>
        </w:rPr>
        <w:t xml:space="preserve"> </w:t>
      </w:r>
      <w:r w:rsidR="007F68A7" w:rsidRPr="0068442A">
        <w:rPr>
          <w:rFonts w:ascii="Times New Roman" w:hAnsi="Times New Roman" w:cs="Times New Roman"/>
        </w:rPr>
        <w:t>and the numerical increase in</w:t>
      </w:r>
      <w:r w:rsidR="00D976D0" w:rsidRPr="0068442A">
        <w:rPr>
          <w:rFonts w:ascii="Times New Roman" w:hAnsi="Times New Roman" w:cs="Times New Roman"/>
        </w:rPr>
        <w:t xml:space="preserve"> girls’</w:t>
      </w:r>
      <w:r w:rsidR="007F68A7" w:rsidRPr="0068442A">
        <w:rPr>
          <w:rFonts w:ascii="Times New Roman" w:hAnsi="Times New Roman" w:cs="Times New Roman"/>
        </w:rPr>
        <w:t xml:space="preserve"> enrolment and participation is regarded as the </w:t>
      </w:r>
      <w:r w:rsidR="007F68A7" w:rsidRPr="0068442A">
        <w:rPr>
          <w:rFonts w:ascii="Times New Roman" w:hAnsi="Times New Roman" w:cs="Times New Roman"/>
          <w:i/>
        </w:rPr>
        <w:t>only</w:t>
      </w:r>
      <w:r w:rsidR="007F68A7" w:rsidRPr="0068442A">
        <w:rPr>
          <w:rFonts w:ascii="Times New Roman" w:hAnsi="Times New Roman" w:cs="Times New Roman"/>
        </w:rPr>
        <w:t xml:space="preserve"> </w:t>
      </w:r>
      <w:r w:rsidR="007F68A7" w:rsidRPr="0068442A">
        <w:rPr>
          <w:rFonts w:ascii="Times New Roman" w:hAnsi="Times New Roman" w:cs="Times New Roman"/>
          <w:i/>
        </w:rPr>
        <w:t xml:space="preserve">valid </w:t>
      </w:r>
      <w:r w:rsidR="007F68A7" w:rsidRPr="0068442A">
        <w:rPr>
          <w:rFonts w:ascii="Times New Roman" w:hAnsi="Times New Roman" w:cs="Times New Roman"/>
        </w:rPr>
        <w:t xml:space="preserve">way </w:t>
      </w:r>
      <w:r w:rsidR="00E90B46">
        <w:rPr>
          <w:rFonts w:ascii="Times New Roman" w:hAnsi="Times New Roman" w:cs="Times New Roman"/>
        </w:rPr>
        <w:t>of</w:t>
      </w:r>
      <w:r w:rsidR="00E90B46" w:rsidRPr="0068442A">
        <w:rPr>
          <w:rFonts w:ascii="Times New Roman" w:hAnsi="Times New Roman" w:cs="Times New Roman"/>
        </w:rPr>
        <w:t xml:space="preserve"> </w:t>
      </w:r>
      <w:r w:rsidR="007F68A7" w:rsidRPr="0068442A">
        <w:rPr>
          <w:rFonts w:ascii="Times New Roman" w:hAnsi="Times New Roman" w:cs="Times New Roman"/>
        </w:rPr>
        <w:t>promoting gender equality</w:t>
      </w:r>
      <w:r w:rsidR="00C025BA" w:rsidRPr="0068442A">
        <w:rPr>
          <w:rFonts w:ascii="Times New Roman" w:hAnsi="Times New Roman" w:cs="Times New Roman"/>
        </w:rPr>
        <w:t>.</w:t>
      </w:r>
    </w:p>
    <w:p w14:paraId="52145CDD" w14:textId="238B7C59" w:rsidR="00855F34" w:rsidRPr="0068442A" w:rsidRDefault="007F68A7" w:rsidP="00BF1E10">
      <w:pPr>
        <w:spacing w:after="200" w:line="360" w:lineRule="auto"/>
        <w:ind w:left="720"/>
        <w:jc w:val="both"/>
        <w:rPr>
          <w:rFonts w:ascii="Times New Roman" w:hAnsi="Times New Roman" w:cs="Times New Roman"/>
        </w:rPr>
      </w:pPr>
      <w:r w:rsidRPr="0068442A">
        <w:rPr>
          <w:rFonts w:ascii="Times New Roman" w:hAnsi="Times New Roman" w:cs="Times New Roman"/>
        </w:rPr>
        <w:lastRenderedPageBreak/>
        <w:t xml:space="preserve">Particularly in Eastern Anatolia, there were many </w:t>
      </w:r>
      <w:r w:rsidR="00855F34" w:rsidRPr="0068442A">
        <w:rPr>
          <w:rFonts w:ascii="Times New Roman" w:hAnsi="Times New Roman" w:cs="Times New Roman"/>
        </w:rPr>
        <w:t>families</w:t>
      </w:r>
      <w:r w:rsidRPr="0068442A">
        <w:rPr>
          <w:rFonts w:ascii="Times New Roman" w:hAnsi="Times New Roman" w:cs="Times New Roman"/>
        </w:rPr>
        <w:t xml:space="preserve"> who did not want </w:t>
      </w:r>
      <w:r w:rsidR="00C025BA" w:rsidRPr="0068442A">
        <w:rPr>
          <w:rFonts w:ascii="Times New Roman" w:hAnsi="Times New Roman" w:cs="Times New Roman"/>
        </w:rPr>
        <w:t>their daughters</w:t>
      </w:r>
      <w:r w:rsidRPr="0068442A">
        <w:rPr>
          <w:rFonts w:ascii="Times New Roman" w:hAnsi="Times New Roman" w:cs="Times New Roman"/>
        </w:rPr>
        <w:t xml:space="preserve"> to share the same class with boys or who refused to send their daughters to school because they would have to remove their headscarf at schools. There are also </w:t>
      </w:r>
      <w:r w:rsidR="00855F34" w:rsidRPr="0068442A">
        <w:rPr>
          <w:rFonts w:ascii="Times New Roman" w:hAnsi="Times New Roman" w:cs="Times New Roman"/>
        </w:rPr>
        <w:t>families</w:t>
      </w:r>
      <w:r w:rsidRPr="0068442A">
        <w:rPr>
          <w:rFonts w:ascii="Times New Roman" w:hAnsi="Times New Roman" w:cs="Times New Roman"/>
        </w:rPr>
        <w:t xml:space="preserve"> who want their daughters to take religious </w:t>
      </w:r>
      <w:r w:rsidR="00855F34" w:rsidRPr="0068442A">
        <w:rPr>
          <w:rFonts w:ascii="Times New Roman" w:hAnsi="Times New Roman" w:cs="Times New Roman"/>
        </w:rPr>
        <w:t xml:space="preserve">education. Before </w:t>
      </w:r>
      <w:r w:rsidR="002139FF" w:rsidRPr="0068442A">
        <w:rPr>
          <w:rFonts w:ascii="Times New Roman" w:hAnsi="Times New Roman" w:cs="Times New Roman"/>
        </w:rPr>
        <w:t xml:space="preserve">the </w:t>
      </w:r>
      <w:r w:rsidR="00855F34" w:rsidRPr="0068442A">
        <w:rPr>
          <w:rFonts w:ascii="Times New Roman" w:hAnsi="Times New Roman" w:cs="Times New Roman"/>
        </w:rPr>
        <w:t>4+ reform, they did not want to send their daughters to school but today, they can send them as their daughters are studying a</w:t>
      </w:r>
      <w:r w:rsidR="000072B7" w:rsidRPr="0068442A">
        <w:rPr>
          <w:rFonts w:ascii="Times New Roman" w:hAnsi="Times New Roman" w:cs="Times New Roman"/>
        </w:rPr>
        <w:t>t</w:t>
      </w:r>
      <w:r w:rsidR="00855F34" w:rsidRPr="0068442A">
        <w:rPr>
          <w:rFonts w:ascii="Times New Roman" w:hAnsi="Times New Roman" w:cs="Times New Roman"/>
        </w:rPr>
        <w:t xml:space="preserve"> single</w:t>
      </w:r>
      <w:r w:rsidR="002B4D6C" w:rsidRPr="0068442A">
        <w:rPr>
          <w:rFonts w:ascii="Times New Roman" w:hAnsi="Times New Roman" w:cs="Times New Roman"/>
        </w:rPr>
        <w:t>-</w:t>
      </w:r>
      <w:r w:rsidR="00855F34" w:rsidRPr="0068442A">
        <w:rPr>
          <w:rFonts w:ascii="Times New Roman" w:hAnsi="Times New Roman" w:cs="Times New Roman"/>
        </w:rPr>
        <w:t xml:space="preserve">sex religious schools. The important thing is that they let their daughters study now. It doesn’t matter which school they send </w:t>
      </w:r>
      <w:r w:rsidR="007957F1" w:rsidRPr="0068442A">
        <w:rPr>
          <w:rFonts w:ascii="Times New Roman" w:hAnsi="Times New Roman" w:cs="Times New Roman"/>
        </w:rPr>
        <w:t xml:space="preserve">them to </w:t>
      </w:r>
      <w:r w:rsidR="00855F34" w:rsidRPr="0068442A">
        <w:rPr>
          <w:rFonts w:ascii="Times New Roman" w:hAnsi="Times New Roman" w:cs="Times New Roman"/>
        </w:rPr>
        <w:t xml:space="preserve">or what kind of education they get. The point is that those girls can study now. It </w:t>
      </w:r>
      <w:r w:rsidR="00740BD0" w:rsidRPr="0068442A">
        <w:rPr>
          <w:rFonts w:ascii="Times New Roman" w:hAnsi="Times New Roman" w:cs="Times New Roman"/>
        </w:rPr>
        <w:t xml:space="preserve">may </w:t>
      </w:r>
      <w:r w:rsidR="00855F34" w:rsidRPr="0068442A">
        <w:rPr>
          <w:rFonts w:ascii="Times New Roman" w:hAnsi="Times New Roman" w:cs="Times New Roman"/>
        </w:rPr>
        <w:t xml:space="preserve">be religious education but at least they know what sort of education </w:t>
      </w:r>
      <w:r w:rsidR="00740BD0" w:rsidRPr="0068442A">
        <w:rPr>
          <w:rFonts w:ascii="Times New Roman" w:hAnsi="Times New Roman" w:cs="Times New Roman"/>
        </w:rPr>
        <w:t xml:space="preserve">they are </w:t>
      </w:r>
      <w:r w:rsidR="00855F34" w:rsidRPr="0068442A">
        <w:rPr>
          <w:rFonts w:ascii="Times New Roman" w:hAnsi="Times New Roman" w:cs="Times New Roman"/>
        </w:rPr>
        <w:t>get</w:t>
      </w:r>
      <w:r w:rsidR="00740BD0" w:rsidRPr="0068442A">
        <w:rPr>
          <w:rFonts w:ascii="Times New Roman" w:hAnsi="Times New Roman" w:cs="Times New Roman"/>
        </w:rPr>
        <w:t>ting</w:t>
      </w:r>
      <w:r w:rsidR="00855F34" w:rsidRPr="0068442A">
        <w:rPr>
          <w:rFonts w:ascii="Times New Roman" w:hAnsi="Times New Roman" w:cs="Times New Roman"/>
        </w:rPr>
        <w:t xml:space="preserve"> and that they are being taught religion related stuff at school (J</w:t>
      </w:r>
      <w:r w:rsidR="00127847" w:rsidRPr="0068442A">
        <w:rPr>
          <w:rFonts w:ascii="Times New Roman" w:hAnsi="Times New Roman" w:cs="Times New Roman"/>
        </w:rPr>
        <w:t>1</w:t>
      </w:r>
      <w:r w:rsidR="00855F34" w:rsidRPr="0068442A">
        <w:rPr>
          <w:rFonts w:ascii="Times New Roman" w:hAnsi="Times New Roman" w:cs="Times New Roman"/>
        </w:rPr>
        <w:t>)</w:t>
      </w:r>
      <w:r w:rsidR="003B2B72" w:rsidRPr="0068442A">
        <w:rPr>
          <w:rFonts w:ascii="Times New Roman" w:hAnsi="Times New Roman" w:cs="Times New Roman"/>
        </w:rPr>
        <w:t>.</w:t>
      </w:r>
    </w:p>
    <w:p w14:paraId="3D0BC914" w14:textId="5BAAD47D" w:rsidR="00335D8B" w:rsidRPr="0068442A" w:rsidRDefault="00C70997" w:rsidP="005D1A1C">
      <w:pPr>
        <w:spacing w:after="200" w:line="360" w:lineRule="auto"/>
        <w:ind w:firstLine="720"/>
        <w:jc w:val="both"/>
        <w:rPr>
          <w:rFonts w:ascii="Times New Roman" w:hAnsi="Times New Roman" w:cs="Times New Roman"/>
        </w:rPr>
      </w:pPr>
      <w:r w:rsidRPr="0068442A">
        <w:rPr>
          <w:rFonts w:ascii="Times New Roman" w:hAnsi="Times New Roman" w:cs="Times New Roman"/>
        </w:rPr>
        <w:t>As seen</w:t>
      </w:r>
      <w:r w:rsidR="004A7254" w:rsidRPr="0068442A">
        <w:rPr>
          <w:rFonts w:ascii="Times New Roman" w:hAnsi="Times New Roman" w:cs="Times New Roman"/>
        </w:rPr>
        <w:t xml:space="preserve"> above</w:t>
      </w:r>
      <w:r w:rsidRPr="0068442A">
        <w:rPr>
          <w:rFonts w:ascii="Times New Roman" w:hAnsi="Times New Roman" w:cs="Times New Roman"/>
        </w:rPr>
        <w:t xml:space="preserve">, the central concern is </w:t>
      </w:r>
      <w:r w:rsidR="000072B7" w:rsidRPr="0068442A">
        <w:rPr>
          <w:rFonts w:ascii="Times New Roman" w:hAnsi="Times New Roman" w:cs="Times New Roman"/>
        </w:rPr>
        <w:t>to</w:t>
      </w:r>
      <w:r w:rsidRPr="0068442A">
        <w:rPr>
          <w:rFonts w:ascii="Times New Roman" w:hAnsi="Times New Roman" w:cs="Times New Roman"/>
        </w:rPr>
        <w:t xml:space="preserve"> get more girls into schools</w:t>
      </w:r>
      <w:r w:rsidR="000072B7" w:rsidRPr="0068442A">
        <w:rPr>
          <w:rFonts w:ascii="Times New Roman" w:hAnsi="Times New Roman" w:cs="Times New Roman"/>
        </w:rPr>
        <w:t>,</w:t>
      </w:r>
      <w:r w:rsidRPr="0068442A">
        <w:rPr>
          <w:rFonts w:ascii="Times New Roman" w:hAnsi="Times New Roman" w:cs="Times New Roman"/>
        </w:rPr>
        <w:t xml:space="preserve"> with no concern for </w:t>
      </w:r>
      <w:r w:rsidR="000072B7" w:rsidRPr="0068442A">
        <w:rPr>
          <w:rFonts w:ascii="Times New Roman" w:hAnsi="Times New Roman" w:cs="Times New Roman"/>
        </w:rPr>
        <w:t xml:space="preserve">the </w:t>
      </w:r>
      <w:r w:rsidRPr="0068442A">
        <w:rPr>
          <w:rFonts w:ascii="Times New Roman" w:hAnsi="Times New Roman" w:cs="Times New Roman"/>
        </w:rPr>
        <w:t xml:space="preserve">quality </w:t>
      </w:r>
      <w:r w:rsidR="000072B7" w:rsidRPr="0068442A">
        <w:rPr>
          <w:rFonts w:ascii="Times New Roman" w:hAnsi="Times New Roman" w:cs="Times New Roman"/>
        </w:rPr>
        <w:t xml:space="preserve">of </w:t>
      </w:r>
      <w:r w:rsidRPr="0068442A">
        <w:rPr>
          <w:rFonts w:ascii="Times New Roman" w:hAnsi="Times New Roman" w:cs="Times New Roman"/>
        </w:rPr>
        <w:t xml:space="preserve">education, </w:t>
      </w:r>
      <w:r w:rsidR="0057510D" w:rsidRPr="0068442A">
        <w:rPr>
          <w:rFonts w:ascii="Times New Roman" w:hAnsi="Times New Roman" w:cs="Times New Roman"/>
        </w:rPr>
        <w:t xml:space="preserve">the </w:t>
      </w:r>
      <w:r w:rsidR="000072B7" w:rsidRPr="0068442A">
        <w:rPr>
          <w:rFonts w:ascii="Times New Roman" w:hAnsi="Times New Roman" w:cs="Times New Roman"/>
        </w:rPr>
        <w:t>school curriculum</w:t>
      </w:r>
      <w:r w:rsidRPr="0068442A">
        <w:rPr>
          <w:rFonts w:ascii="Times New Roman" w:hAnsi="Times New Roman" w:cs="Times New Roman"/>
        </w:rPr>
        <w:t xml:space="preserve"> </w:t>
      </w:r>
      <w:r w:rsidR="000072B7" w:rsidRPr="0068442A">
        <w:rPr>
          <w:rFonts w:ascii="Times New Roman" w:hAnsi="Times New Roman" w:cs="Times New Roman"/>
        </w:rPr>
        <w:t xml:space="preserve">(except the presence of </w:t>
      </w:r>
      <w:r w:rsidRPr="0068442A">
        <w:rPr>
          <w:rFonts w:ascii="Times New Roman" w:hAnsi="Times New Roman" w:cs="Times New Roman"/>
        </w:rPr>
        <w:t>religious content</w:t>
      </w:r>
      <w:r w:rsidR="000072B7" w:rsidRPr="0068442A">
        <w:rPr>
          <w:rFonts w:ascii="Times New Roman" w:hAnsi="Times New Roman" w:cs="Times New Roman"/>
        </w:rPr>
        <w:t>)</w:t>
      </w:r>
      <w:r w:rsidR="00FC5FB6" w:rsidRPr="0068442A">
        <w:rPr>
          <w:rFonts w:ascii="Times New Roman" w:hAnsi="Times New Roman" w:cs="Times New Roman"/>
        </w:rPr>
        <w:t xml:space="preserve">, </w:t>
      </w:r>
      <w:r w:rsidR="000072B7" w:rsidRPr="0068442A">
        <w:rPr>
          <w:rFonts w:ascii="Times New Roman" w:hAnsi="Times New Roman" w:cs="Times New Roman"/>
        </w:rPr>
        <w:t>the type of female</w:t>
      </w:r>
      <w:r w:rsidR="00FC5FB6" w:rsidRPr="0068442A">
        <w:rPr>
          <w:rFonts w:ascii="Times New Roman" w:hAnsi="Times New Roman" w:cs="Times New Roman"/>
        </w:rPr>
        <w:t xml:space="preserve"> identities </w:t>
      </w:r>
      <w:r w:rsidRPr="0068442A">
        <w:rPr>
          <w:rFonts w:ascii="Times New Roman" w:hAnsi="Times New Roman" w:cs="Times New Roman"/>
        </w:rPr>
        <w:t>or gendered structures</w:t>
      </w:r>
      <w:r w:rsidR="000072B7" w:rsidRPr="0068442A">
        <w:rPr>
          <w:rFonts w:ascii="Times New Roman" w:hAnsi="Times New Roman" w:cs="Times New Roman"/>
        </w:rPr>
        <w:t xml:space="preserve"> being developed</w:t>
      </w:r>
      <w:r w:rsidRPr="0068442A">
        <w:rPr>
          <w:rFonts w:ascii="Times New Roman" w:hAnsi="Times New Roman" w:cs="Times New Roman"/>
        </w:rPr>
        <w:t>,</w:t>
      </w:r>
      <w:r w:rsidR="005D1A1C" w:rsidRPr="0068442A">
        <w:rPr>
          <w:rFonts w:ascii="Times New Roman" w:hAnsi="Times New Roman" w:cs="Times New Roman"/>
        </w:rPr>
        <w:t xml:space="preserve"> hierarchal and sexist</w:t>
      </w:r>
      <w:r w:rsidRPr="0068442A">
        <w:rPr>
          <w:rFonts w:ascii="Times New Roman" w:hAnsi="Times New Roman" w:cs="Times New Roman"/>
        </w:rPr>
        <w:t xml:space="preserve"> relations or pedagogies</w:t>
      </w:r>
      <w:r w:rsidR="00FC5FB6" w:rsidRPr="0068442A">
        <w:rPr>
          <w:rFonts w:ascii="Times New Roman" w:hAnsi="Times New Roman" w:cs="Times New Roman"/>
        </w:rPr>
        <w:t xml:space="preserve"> </w:t>
      </w:r>
      <w:r w:rsidRPr="0068442A">
        <w:rPr>
          <w:rFonts w:ascii="Times New Roman" w:hAnsi="Times New Roman" w:cs="Times New Roman"/>
        </w:rPr>
        <w:t>within the school,</w:t>
      </w:r>
      <w:r w:rsidR="000072B7" w:rsidRPr="0068442A">
        <w:rPr>
          <w:rFonts w:ascii="Times New Roman" w:hAnsi="Times New Roman" w:cs="Times New Roman"/>
        </w:rPr>
        <w:t xml:space="preserve"> </w:t>
      </w:r>
      <w:r w:rsidR="00127847" w:rsidRPr="0068442A">
        <w:rPr>
          <w:rFonts w:ascii="Times New Roman" w:hAnsi="Times New Roman" w:cs="Times New Roman"/>
        </w:rPr>
        <w:t>girls’</w:t>
      </w:r>
      <w:r w:rsidRPr="0068442A">
        <w:rPr>
          <w:rFonts w:ascii="Times New Roman" w:hAnsi="Times New Roman" w:cs="Times New Roman"/>
        </w:rPr>
        <w:t xml:space="preserve"> schooling experiences</w:t>
      </w:r>
      <w:r w:rsidR="009238D7" w:rsidRPr="0068442A">
        <w:rPr>
          <w:rFonts w:ascii="Times New Roman" w:hAnsi="Times New Roman" w:cs="Times New Roman"/>
        </w:rPr>
        <w:t xml:space="preserve">, </w:t>
      </w:r>
      <w:r w:rsidR="0057510D" w:rsidRPr="0068442A">
        <w:rPr>
          <w:rFonts w:ascii="Times New Roman" w:hAnsi="Times New Roman" w:cs="Times New Roman"/>
        </w:rPr>
        <w:t xml:space="preserve">or </w:t>
      </w:r>
      <w:r w:rsidR="009238D7" w:rsidRPr="0068442A">
        <w:rPr>
          <w:rFonts w:ascii="Times New Roman" w:hAnsi="Times New Roman" w:cs="Times New Roman"/>
        </w:rPr>
        <w:t>gender relations</w:t>
      </w:r>
      <w:r w:rsidRPr="0068442A">
        <w:rPr>
          <w:rFonts w:ascii="Times New Roman" w:hAnsi="Times New Roman" w:cs="Times New Roman"/>
        </w:rPr>
        <w:t xml:space="preserve"> within and </w:t>
      </w:r>
      <w:r w:rsidR="00FC5FB6" w:rsidRPr="0068442A">
        <w:rPr>
          <w:rFonts w:ascii="Times New Roman" w:hAnsi="Times New Roman" w:cs="Times New Roman"/>
        </w:rPr>
        <w:t>outside the schools</w:t>
      </w:r>
      <w:r w:rsidR="009238D7" w:rsidRPr="0068442A">
        <w:rPr>
          <w:rFonts w:ascii="Times New Roman" w:hAnsi="Times New Roman" w:cs="Times New Roman"/>
        </w:rPr>
        <w:t>.</w:t>
      </w:r>
      <w:r w:rsidR="00D37789" w:rsidRPr="0068442A">
        <w:rPr>
          <w:rFonts w:ascii="Times New Roman" w:hAnsi="Times New Roman" w:cs="Times New Roman"/>
        </w:rPr>
        <w:t xml:space="preserve"> </w:t>
      </w:r>
      <w:r w:rsidR="00335D8B" w:rsidRPr="0068442A">
        <w:rPr>
          <w:rFonts w:ascii="Times New Roman" w:hAnsi="Times New Roman" w:cs="Times New Roman"/>
        </w:rPr>
        <w:t>Likewise, another official from a trade union also emphasi</w:t>
      </w:r>
      <w:r w:rsidR="0050617E" w:rsidRPr="0068442A">
        <w:rPr>
          <w:rFonts w:ascii="Times New Roman" w:hAnsi="Times New Roman" w:cs="Times New Roman"/>
        </w:rPr>
        <w:t>s</w:t>
      </w:r>
      <w:r w:rsidR="00335D8B" w:rsidRPr="0068442A">
        <w:rPr>
          <w:rFonts w:ascii="Times New Roman" w:hAnsi="Times New Roman" w:cs="Times New Roman"/>
        </w:rPr>
        <w:t xml:space="preserve">ed the </w:t>
      </w:r>
      <w:r w:rsidR="00C025BA" w:rsidRPr="0068442A">
        <w:rPr>
          <w:rFonts w:ascii="Times New Roman" w:hAnsi="Times New Roman" w:cs="Times New Roman"/>
        </w:rPr>
        <w:t>importance</w:t>
      </w:r>
      <w:r w:rsidR="00335D8B" w:rsidRPr="0068442A">
        <w:rPr>
          <w:rFonts w:ascii="Times New Roman" w:hAnsi="Times New Roman" w:cs="Times New Roman"/>
        </w:rPr>
        <w:t xml:space="preserve"> of</w:t>
      </w:r>
      <w:r w:rsidR="00856378" w:rsidRPr="0068442A">
        <w:rPr>
          <w:rFonts w:ascii="Times New Roman" w:hAnsi="Times New Roman" w:cs="Times New Roman"/>
        </w:rPr>
        <w:t xml:space="preserve"> the</w:t>
      </w:r>
      <w:r w:rsidR="00335D8B" w:rsidRPr="0068442A">
        <w:rPr>
          <w:rFonts w:ascii="Times New Roman" w:hAnsi="Times New Roman" w:cs="Times New Roman"/>
        </w:rPr>
        <w:t xml:space="preserve"> lifting of </w:t>
      </w:r>
      <w:r w:rsidR="00856378" w:rsidRPr="0068442A">
        <w:rPr>
          <w:rFonts w:ascii="Times New Roman" w:hAnsi="Times New Roman" w:cs="Times New Roman"/>
        </w:rPr>
        <w:t xml:space="preserve">the </w:t>
      </w:r>
      <w:r w:rsidR="00335D8B" w:rsidRPr="0068442A">
        <w:rPr>
          <w:rFonts w:ascii="Times New Roman" w:hAnsi="Times New Roman" w:cs="Times New Roman"/>
        </w:rPr>
        <w:t>headscarf ban</w:t>
      </w:r>
      <w:r w:rsidR="00BF0FE5" w:rsidRPr="0068442A">
        <w:rPr>
          <w:rFonts w:ascii="Times New Roman" w:hAnsi="Times New Roman" w:cs="Times New Roman"/>
        </w:rPr>
        <w:t>,</w:t>
      </w:r>
      <w:r w:rsidR="00335D8B" w:rsidRPr="0068442A">
        <w:rPr>
          <w:rFonts w:ascii="Times New Roman" w:hAnsi="Times New Roman" w:cs="Times New Roman"/>
        </w:rPr>
        <w:t xml:space="preserve"> </w:t>
      </w:r>
      <w:r w:rsidR="00856378" w:rsidRPr="0068442A">
        <w:rPr>
          <w:rFonts w:ascii="Times New Roman" w:hAnsi="Times New Roman" w:cs="Times New Roman"/>
        </w:rPr>
        <w:t xml:space="preserve">but also </w:t>
      </w:r>
      <w:r w:rsidR="00335D8B" w:rsidRPr="0068442A">
        <w:rPr>
          <w:rFonts w:ascii="Times New Roman" w:hAnsi="Times New Roman" w:cs="Times New Roman"/>
        </w:rPr>
        <w:t>criticis</w:t>
      </w:r>
      <w:r w:rsidR="00856378" w:rsidRPr="0068442A">
        <w:rPr>
          <w:rFonts w:ascii="Times New Roman" w:hAnsi="Times New Roman" w:cs="Times New Roman"/>
        </w:rPr>
        <w:t>ed</w:t>
      </w:r>
      <w:r w:rsidR="00335D8B" w:rsidRPr="0068442A">
        <w:rPr>
          <w:rFonts w:ascii="Times New Roman" w:hAnsi="Times New Roman" w:cs="Times New Roman"/>
        </w:rPr>
        <w:t xml:space="preserve"> the single</w:t>
      </w:r>
      <w:r w:rsidR="005C40F3" w:rsidRPr="0068442A">
        <w:rPr>
          <w:rFonts w:ascii="Times New Roman" w:hAnsi="Times New Roman" w:cs="Times New Roman"/>
        </w:rPr>
        <w:t>-</w:t>
      </w:r>
      <w:r w:rsidR="00335D8B" w:rsidRPr="0068442A">
        <w:rPr>
          <w:rFonts w:ascii="Times New Roman" w:hAnsi="Times New Roman" w:cs="Times New Roman"/>
        </w:rPr>
        <w:t>sex policy introduced to religious schools</w:t>
      </w:r>
      <w:r w:rsidR="00856378" w:rsidRPr="0068442A">
        <w:rPr>
          <w:rFonts w:ascii="Times New Roman" w:hAnsi="Times New Roman" w:cs="Times New Roman"/>
        </w:rPr>
        <w:t>:</w:t>
      </w:r>
    </w:p>
    <w:p w14:paraId="63B7C036" w14:textId="012B5DB7" w:rsidR="00335D8B" w:rsidRPr="0068442A" w:rsidRDefault="00335D8B" w:rsidP="00BF1E10">
      <w:pPr>
        <w:spacing w:after="200" w:line="360" w:lineRule="auto"/>
        <w:ind w:left="720"/>
        <w:jc w:val="both"/>
        <w:rPr>
          <w:rFonts w:ascii="Times New Roman" w:hAnsi="Times New Roman" w:cs="Times New Roman"/>
        </w:rPr>
      </w:pPr>
      <w:r w:rsidRPr="0068442A">
        <w:rPr>
          <w:rFonts w:ascii="Times New Roman" w:hAnsi="Times New Roman" w:cs="Times New Roman"/>
        </w:rPr>
        <w:t>I am in favour of mixed education</w:t>
      </w:r>
      <w:r w:rsidR="00856378" w:rsidRPr="0068442A">
        <w:rPr>
          <w:rFonts w:ascii="Times New Roman" w:hAnsi="Times New Roman" w:cs="Times New Roman"/>
        </w:rPr>
        <w:t>,</w:t>
      </w:r>
      <w:r w:rsidRPr="0068442A">
        <w:rPr>
          <w:rFonts w:ascii="Times New Roman" w:hAnsi="Times New Roman" w:cs="Times New Roman"/>
        </w:rPr>
        <w:t xml:space="preserve"> as it better serves the pedagogical and social needs of students and I stated so when this reform was being drafted…</w:t>
      </w:r>
      <w:r w:rsidR="00BD593A">
        <w:rPr>
          <w:rFonts w:ascii="Times New Roman" w:hAnsi="Times New Roman" w:cs="Times New Roman"/>
        </w:rPr>
        <w:t xml:space="preserve"> </w:t>
      </w:r>
      <w:r w:rsidRPr="0068442A">
        <w:rPr>
          <w:rFonts w:ascii="Times New Roman" w:hAnsi="Times New Roman" w:cs="Times New Roman"/>
        </w:rPr>
        <w:t xml:space="preserve">yet I believe that lifting </w:t>
      </w:r>
      <w:r w:rsidR="00885AC7" w:rsidRPr="0068442A">
        <w:rPr>
          <w:rFonts w:ascii="Times New Roman" w:hAnsi="Times New Roman" w:cs="Times New Roman"/>
        </w:rPr>
        <w:t xml:space="preserve">the </w:t>
      </w:r>
      <w:r w:rsidR="00C025BA" w:rsidRPr="0068442A">
        <w:rPr>
          <w:rFonts w:ascii="Times New Roman" w:hAnsi="Times New Roman" w:cs="Times New Roman"/>
        </w:rPr>
        <w:t>headscarf</w:t>
      </w:r>
      <w:r w:rsidRPr="0068442A">
        <w:rPr>
          <w:rFonts w:ascii="Times New Roman" w:hAnsi="Times New Roman" w:cs="Times New Roman"/>
        </w:rPr>
        <w:t xml:space="preserve"> ban is milestone. Most women who are enrolled in open education (open </w:t>
      </w:r>
      <w:r w:rsidR="00C025BA" w:rsidRPr="0068442A">
        <w:rPr>
          <w:rFonts w:ascii="Times New Roman" w:hAnsi="Times New Roman" w:cs="Times New Roman"/>
        </w:rPr>
        <w:t>high schools</w:t>
      </w:r>
      <w:r w:rsidRPr="0068442A">
        <w:rPr>
          <w:rFonts w:ascii="Times New Roman" w:hAnsi="Times New Roman" w:cs="Times New Roman"/>
        </w:rPr>
        <w:t xml:space="preserve">) are mature women who </w:t>
      </w:r>
      <w:r w:rsidR="00C025BA" w:rsidRPr="0068442A">
        <w:rPr>
          <w:rFonts w:ascii="Times New Roman" w:hAnsi="Times New Roman" w:cs="Times New Roman"/>
        </w:rPr>
        <w:t>could not</w:t>
      </w:r>
      <w:r w:rsidRPr="0068442A">
        <w:rPr>
          <w:rFonts w:ascii="Times New Roman" w:hAnsi="Times New Roman" w:cs="Times New Roman"/>
        </w:rPr>
        <w:t xml:space="preserve"> study due to </w:t>
      </w:r>
      <w:r w:rsidR="00BF0FE5" w:rsidRPr="0068442A">
        <w:rPr>
          <w:rFonts w:ascii="Times New Roman" w:hAnsi="Times New Roman" w:cs="Times New Roman"/>
        </w:rPr>
        <w:t xml:space="preserve">the </w:t>
      </w:r>
      <w:r w:rsidRPr="0068442A">
        <w:rPr>
          <w:rFonts w:ascii="Times New Roman" w:hAnsi="Times New Roman" w:cs="Times New Roman"/>
        </w:rPr>
        <w:t>headscarf ban. Now, more girls will be free to study</w:t>
      </w:r>
      <w:r w:rsidR="00D00EEA" w:rsidRPr="0068442A">
        <w:rPr>
          <w:rFonts w:ascii="Times New Roman" w:hAnsi="Times New Roman" w:cs="Times New Roman"/>
        </w:rPr>
        <w:t xml:space="preserve"> (</w:t>
      </w:r>
      <w:r w:rsidR="00127847" w:rsidRPr="0068442A">
        <w:rPr>
          <w:rFonts w:ascii="Times New Roman" w:hAnsi="Times New Roman" w:cs="Times New Roman"/>
        </w:rPr>
        <w:t>TUO</w:t>
      </w:r>
      <w:r w:rsidR="00D00EEA" w:rsidRPr="0068442A">
        <w:rPr>
          <w:rFonts w:ascii="Times New Roman" w:hAnsi="Times New Roman" w:cs="Times New Roman"/>
        </w:rPr>
        <w:t>2)</w:t>
      </w:r>
      <w:r w:rsidR="003B2B72" w:rsidRPr="0068442A">
        <w:rPr>
          <w:rFonts w:ascii="Times New Roman" w:hAnsi="Times New Roman" w:cs="Times New Roman"/>
        </w:rPr>
        <w:t>.</w:t>
      </w:r>
    </w:p>
    <w:p w14:paraId="689A03EF" w14:textId="652DBB5F" w:rsidR="00F63BF1" w:rsidRPr="0068442A" w:rsidRDefault="00335D8B" w:rsidP="00BF1E10">
      <w:pPr>
        <w:spacing w:after="200" w:line="360" w:lineRule="auto"/>
        <w:ind w:firstLine="720"/>
        <w:jc w:val="both"/>
        <w:rPr>
          <w:rFonts w:ascii="Times New Roman" w:hAnsi="Times New Roman" w:cs="Times New Roman"/>
        </w:rPr>
      </w:pPr>
      <w:r w:rsidRPr="0068442A">
        <w:rPr>
          <w:rFonts w:ascii="Times New Roman" w:hAnsi="Times New Roman" w:cs="Times New Roman"/>
        </w:rPr>
        <w:t xml:space="preserve">In the same manner, </w:t>
      </w:r>
      <w:r w:rsidR="00862663" w:rsidRPr="0068442A">
        <w:rPr>
          <w:rFonts w:ascii="Times New Roman" w:hAnsi="Times New Roman" w:cs="Times New Roman"/>
        </w:rPr>
        <w:t xml:space="preserve">another </w:t>
      </w:r>
      <w:r w:rsidR="00162FC9" w:rsidRPr="0068442A">
        <w:rPr>
          <w:rFonts w:ascii="Times New Roman" w:hAnsi="Times New Roman" w:cs="Times New Roman"/>
        </w:rPr>
        <w:t>journalist responded</w:t>
      </w:r>
      <w:r w:rsidR="00F63BF1" w:rsidRPr="0068442A">
        <w:rPr>
          <w:rFonts w:ascii="Times New Roman" w:hAnsi="Times New Roman" w:cs="Times New Roman"/>
        </w:rPr>
        <w:t xml:space="preserve"> to the claims that </w:t>
      </w:r>
      <w:r w:rsidR="00CE3757" w:rsidRPr="0068442A">
        <w:rPr>
          <w:rFonts w:ascii="Times New Roman" w:hAnsi="Times New Roman" w:cs="Times New Roman"/>
        </w:rPr>
        <w:t xml:space="preserve">the </w:t>
      </w:r>
      <w:r w:rsidR="00F63BF1" w:rsidRPr="0068442A">
        <w:rPr>
          <w:rFonts w:ascii="Times New Roman" w:hAnsi="Times New Roman" w:cs="Times New Roman"/>
        </w:rPr>
        <w:t xml:space="preserve">4+ reform would </w:t>
      </w:r>
      <w:r w:rsidR="00CE3757" w:rsidRPr="0068442A">
        <w:rPr>
          <w:rFonts w:ascii="Times New Roman" w:hAnsi="Times New Roman" w:cs="Times New Roman"/>
        </w:rPr>
        <w:t xml:space="preserve">clear </w:t>
      </w:r>
      <w:r w:rsidR="00F63BF1" w:rsidRPr="0068442A">
        <w:rPr>
          <w:rFonts w:ascii="Times New Roman" w:hAnsi="Times New Roman" w:cs="Times New Roman"/>
        </w:rPr>
        <w:t>the way for underage marriages</w:t>
      </w:r>
      <w:r w:rsidR="00CE3757" w:rsidRPr="0068442A">
        <w:rPr>
          <w:rFonts w:ascii="Times New Roman" w:hAnsi="Times New Roman" w:cs="Times New Roman"/>
        </w:rPr>
        <w:t>,</w:t>
      </w:r>
      <w:r w:rsidR="00F63BF1" w:rsidRPr="0068442A">
        <w:rPr>
          <w:rFonts w:ascii="Times New Roman" w:hAnsi="Times New Roman" w:cs="Times New Roman"/>
        </w:rPr>
        <w:t xml:space="preserve"> as the bill makes it possible to pursue one’s education through open education until the end of high school</w:t>
      </w:r>
      <w:r w:rsidR="00CE3757" w:rsidRPr="0068442A">
        <w:rPr>
          <w:rFonts w:ascii="Times New Roman" w:hAnsi="Times New Roman" w:cs="Times New Roman"/>
        </w:rPr>
        <w:t>,</w:t>
      </w:r>
      <w:r w:rsidR="00F63BF1" w:rsidRPr="0068442A">
        <w:rPr>
          <w:rFonts w:ascii="Times New Roman" w:hAnsi="Times New Roman" w:cs="Times New Roman"/>
        </w:rPr>
        <w:t xml:space="preserve"> by arguing that such comments were purely ideological and ha</w:t>
      </w:r>
      <w:r w:rsidR="00BA4E7D" w:rsidRPr="0068442A">
        <w:rPr>
          <w:rFonts w:ascii="Times New Roman" w:hAnsi="Times New Roman" w:cs="Times New Roman"/>
        </w:rPr>
        <w:t>ve</w:t>
      </w:r>
      <w:r w:rsidR="00F63BF1" w:rsidRPr="0068442A">
        <w:rPr>
          <w:rFonts w:ascii="Times New Roman" w:hAnsi="Times New Roman" w:cs="Times New Roman"/>
        </w:rPr>
        <w:t xml:space="preserve"> nothing to do with the reform:</w:t>
      </w:r>
    </w:p>
    <w:p w14:paraId="2837977F" w14:textId="49A95B96" w:rsidR="00F63BF1" w:rsidRPr="0068442A" w:rsidRDefault="00F63BF1" w:rsidP="00BF1E10">
      <w:pPr>
        <w:spacing w:after="200" w:line="360" w:lineRule="auto"/>
        <w:ind w:left="720"/>
        <w:jc w:val="both"/>
        <w:rPr>
          <w:rFonts w:ascii="Times New Roman" w:hAnsi="Times New Roman" w:cs="Times New Roman"/>
        </w:rPr>
      </w:pPr>
      <w:r w:rsidRPr="0068442A">
        <w:rPr>
          <w:rFonts w:ascii="Times New Roman" w:hAnsi="Times New Roman" w:cs="Times New Roman"/>
        </w:rPr>
        <w:t>Today, women’s rights in Turkey are much more progressive than 10 years ago. No one can forcefully marry you</w:t>
      </w:r>
      <w:r w:rsidR="00D65A70" w:rsidRPr="0068442A">
        <w:rPr>
          <w:rFonts w:ascii="Times New Roman" w:hAnsi="Times New Roman" w:cs="Times New Roman"/>
        </w:rPr>
        <w:t>, so</w:t>
      </w:r>
      <w:r w:rsidR="00D00EEA" w:rsidRPr="0068442A">
        <w:rPr>
          <w:rFonts w:ascii="Times New Roman" w:hAnsi="Times New Roman" w:cs="Times New Roman"/>
        </w:rPr>
        <w:t xml:space="preserve"> says the law</w:t>
      </w:r>
      <w:r w:rsidRPr="0068442A">
        <w:rPr>
          <w:rFonts w:ascii="Times New Roman" w:hAnsi="Times New Roman" w:cs="Times New Roman"/>
        </w:rPr>
        <w:t>…</w:t>
      </w:r>
      <w:r w:rsidR="00BD593A">
        <w:rPr>
          <w:rFonts w:ascii="Times New Roman" w:hAnsi="Times New Roman" w:cs="Times New Roman"/>
        </w:rPr>
        <w:t xml:space="preserve"> </w:t>
      </w:r>
      <w:r w:rsidRPr="0068442A">
        <w:rPr>
          <w:rFonts w:ascii="Times New Roman" w:hAnsi="Times New Roman" w:cs="Times New Roman"/>
        </w:rPr>
        <w:t xml:space="preserve">I find the claims that </w:t>
      </w:r>
      <w:r w:rsidR="00D11025" w:rsidRPr="0068442A">
        <w:rPr>
          <w:rFonts w:ascii="Times New Roman" w:hAnsi="Times New Roman" w:cs="Times New Roman"/>
        </w:rPr>
        <w:t xml:space="preserve">the </w:t>
      </w:r>
      <w:r w:rsidRPr="0068442A">
        <w:rPr>
          <w:rFonts w:ascii="Times New Roman" w:hAnsi="Times New Roman" w:cs="Times New Roman"/>
        </w:rPr>
        <w:t xml:space="preserve">4+ reform will pave the way for child marriage as an ideological comment </w:t>
      </w:r>
      <w:r w:rsidR="009B3B60" w:rsidRPr="0068442A">
        <w:rPr>
          <w:rFonts w:ascii="Times New Roman" w:hAnsi="Times New Roman" w:cs="Times New Roman"/>
        </w:rPr>
        <w:t xml:space="preserve">made </w:t>
      </w:r>
      <w:r w:rsidRPr="0068442A">
        <w:rPr>
          <w:rFonts w:ascii="Times New Roman" w:hAnsi="Times New Roman" w:cs="Times New Roman"/>
        </w:rPr>
        <w:t>by those who want to oppose this bill…</w:t>
      </w:r>
      <w:r w:rsidR="00D00EEA" w:rsidRPr="0068442A">
        <w:rPr>
          <w:rFonts w:ascii="Times New Roman" w:hAnsi="Times New Roman" w:cs="Times New Roman"/>
        </w:rPr>
        <w:t xml:space="preserve"> we should wait and see the outcomes of the bill befor</w:t>
      </w:r>
      <w:r w:rsidR="00C025BA" w:rsidRPr="0068442A">
        <w:rPr>
          <w:rFonts w:ascii="Times New Roman" w:hAnsi="Times New Roman" w:cs="Times New Roman"/>
        </w:rPr>
        <w:t>e making such comments (</w:t>
      </w:r>
      <w:r w:rsidR="00862663" w:rsidRPr="0068442A">
        <w:rPr>
          <w:rFonts w:ascii="Times New Roman" w:hAnsi="Times New Roman" w:cs="Times New Roman"/>
        </w:rPr>
        <w:t>J2</w:t>
      </w:r>
      <w:r w:rsidR="00D00EEA" w:rsidRPr="0068442A">
        <w:rPr>
          <w:rFonts w:ascii="Times New Roman" w:hAnsi="Times New Roman" w:cs="Times New Roman"/>
        </w:rPr>
        <w:t>)</w:t>
      </w:r>
      <w:r w:rsidR="003B2B72" w:rsidRPr="0068442A">
        <w:rPr>
          <w:rFonts w:ascii="Times New Roman" w:hAnsi="Times New Roman" w:cs="Times New Roman"/>
        </w:rPr>
        <w:t>.</w:t>
      </w:r>
    </w:p>
    <w:p w14:paraId="3FA7D041" w14:textId="64D6CCD5" w:rsidR="005D1A1C" w:rsidRPr="0068442A" w:rsidRDefault="00D00EEA" w:rsidP="005D1A1C">
      <w:pPr>
        <w:spacing w:after="200" w:line="360" w:lineRule="auto"/>
        <w:ind w:firstLine="720"/>
        <w:jc w:val="both"/>
        <w:rPr>
          <w:rFonts w:ascii="Times New Roman" w:hAnsi="Times New Roman" w:cs="Times New Roman"/>
        </w:rPr>
      </w:pPr>
      <w:r w:rsidRPr="0068442A">
        <w:rPr>
          <w:rFonts w:ascii="Times New Roman" w:hAnsi="Times New Roman" w:cs="Times New Roman"/>
        </w:rPr>
        <w:t xml:space="preserve">Although laws in Turkey protect the rights of girls and </w:t>
      </w:r>
      <w:r w:rsidR="00C025BA" w:rsidRPr="0068442A">
        <w:rPr>
          <w:rFonts w:ascii="Times New Roman" w:hAnsi="Times New Roman" w:cs="Times New Roman"/>
        </w:rPr>
        <w:t>guarantee</w:t>
      </w:r>
      <w:r w:rsidRPr="0068442A">
        <w:rPr>
          <w:rFonts w:ascii="Times New Roman" w:hAnsi="Times New Roman" w:cs="Times New Roman"/>
        </w:rPr>
        <w:t xml:space="preserve"> that any marriage under the age of 18 is illegitimate and regarded as child marriage, several studies s</w:t>
      </w:r>
      <w:r w:rsidR="00033F72" w:rsidRPr="0068442A">
        <w:rPr>
          <w:rFonts w:ascii="Times New Roman" w:hAnsi="Times New Roman" w:cs="Times New Roman"/>
        </w:rPr>
        <w:t xml:space="preserve">how </w:t>
      </w:r>
      <w:r w:rsidRPr="0068442A">
        <w:rPr>
          <w:rFonts w:ascii="Times New Roman" w:hAnsi="Times New Roman" w:cs="Times New Roman"/>
        </w:rPr>
        <w:t>that girls’ consent is still not being sought</w:t>
      </w:r>
      <w:r w:rsidR="00D11025" w:rsidRPr="0068442A">
        <w:rPr>
          <w:rFonts w:ascii="Times New Roman" w:hAnsi="Times New Roman" w:cs="Times New Roman"/>
        </w:rPr>
        <w:t>,</w:t>
      </w:r>
      <w:r w:rsidRPr="0068442A">
        <w:rPr>
          <w:rFonts w:ascii="Times New Roman" w:hAnsi="Times New Roman" w:cs="Times New Roman"/>
        </w:rPr>
        <w:t xml:space="preserve"> particularly in </w:t>
      </w:r>
      <w:r w:rsidR="00BB6E8C">
        <w:rPr>
          <w:rFonts w:ascii="Times New Roman" w:hAnsi="Times New Roman" w:cs="Times New Roman"/>
        </w:rPr>
        <w:t>E</w:t>
      </w:r>
      <w:r w:rsidRPr="0068442A">
        <w:rPr>
          <w:rFonts w:ascii="Times New Roman" w:hAnsi="Times New Roman" w:cs="Times New Roman"/>
        </w:rPr>
        <w:t>astern Anatolia</w:t>
      </w:r>
      <w:r w:rsidR="00D11025" w:rsidRPr="0068442A">
        <w:rPr>
          <w:rFonts w:ascii="Times New Roman" w:hAnsi="Times New Roman" w:cs="Times New Roman"/>
        </w:rPr>
        <w:t>,</w:t>
      </w:r>
      <w:r w:rsidRPr="0068442A">
        <w:rPr>
          <w:rFonts w:ascii="Times New Roman" w:hAnsi="Times New Roman" w:cs="Times New Roman"/>
        </w:rPr>
        <w:t xml:space="preserve"> and </w:t>
      </w:r>
      <w:r w:rsidR="00D11025" w:rsidRPr="0068442A">
        <w:rPr>
          <w:rFonts w:ascii="Times New Roman" w:hAnsi="Times New Roman" w:cs="Times New Roman"/>
        </w:rPr>
        <w:t xml:space="preserve">that </w:t>
      </w:r>
      <w:r w:rsidRPr="0068442A">
        <w:rPr>
          <w:rFonts w:ascii="Times New Roman" w:hAnsi="Times New Roman" w:cs="Times New Roman"/>
        </w:rPr>
        <w:t>child marriages are still part of the education system that deprives girls of education</w:t>
      </w:r>
      <w:r w:rsidR="00B5056B" w:rsidRPr="0068442A">
        <w:rPr>
          <w:rFonts w:ascii="Times New Roman" w:hAnsi="Times New Roman" w:cs="Times New Roman"/>
        </w:rPr>
        <w:t xml:space="preserve"> (</w:t>
      </w:r>
      <w:r w:rsidR="00D37789" w:rsidRPr="0068442A">
        <w:rPr>
          <w:rFonts w:ascii="Times New Roman" w:hAnsi="Times New Roman" w:cs="Times New Roman"/>
        </w:rPr>
        <w:t>Aydemir, 2011</w:t>
      </w:r>
      <w:r w:rsidR="001749A3" w:rsidRPr="0068442A">
        <w:rPr>
          <w:rFonts w:ascii="Times New Roman" w:hAnsi="Times New Roman" w:cs="Times New Roman"/>
        </w:rPr>
        <w:t>; Özaydınlık</w:t>
      </w:r>
      <w:r w:rsidR="005D1A1C" w:rsidRPr="0068442A">
        <w:rPr>
          <w:rFonts w:ascii="Times New Roman" w:hAnsi="Times New Roman" w:cs="Times New Roman"/>
        </w:rPr>
        <w:t>, 2014</w:t>
      </w:r>
      <w:r w:rsidR="00B5056B" w:rsidRPr="0068442A">
        <w:rPr>
          <w:rFonts w:ascii="Times New Roman" w:hAnsi="Times New Roman" w:cs="Times New Roman"/>
        </w:rPr>
        <w:t>)</w:t>
      </w:r>
      <w:r w:rsidRPr="0068442A">
        <w:rPr>
          <w:rFonts w:ascii="Times New Roman" w:hAnsi="Times New Roman" w:cs="Times New Roman"/>
        </w:rPr>
        <w:t xml:space="preserve">. </w:t>
      </w:r>
      <w:r w:rsidR="00C025BA" w:rsidRPr="0068442A">
        <w:rPr>
          <w:rFonts w:ascii="Times New Roman" w:hAnsi="Times New Roman" w:cs="Times New Roman"/>
        </w:rPr>
        <w:t>Therefore</w:t>
      </w:r>
      <w:r w:rsidR="00CB18DE" w:rsidRPr="0068442A">
        <w:rPr>
          <w:rFonts w:ascii="Times New Roman" w:hAnsi="Times New Roman" w:cs="Times New Roman"/>
        </w:rPr>
        <w:t>, the</w:t>
      </w:r>
      <w:r w:rsidRPr="0068442A">
        <w:rPr>
          <w:rFonts w:ascii="Times New Roman" w:hAnsi="Times New Roman" w:cs="Times New Roman"/>
        </w:rPr>
        <w:t xml:space="preserve"> </w:t>
      </w:r>
      <w:r w:rsidR="003170E2" w:rsidRPr="0068442A">
        <w:rPr>
          <w:rFonts w:ascii="Times New Roman" w:hAnsi="Times New Roman" w:cs="Times New Roman"/>
        </w:rPr>
        <w:t xml:space="preserve">nature of the </w:t>
      </w:r>
      <w:r w:rsidRPr="0068442A">
        <w:rPr>
          <w:rFonts w:ascii="Times New Roman" w:hAnsi="Times New Roman" w:cs="Times New Roman"/>
        </w:rPr>
        <w:t xml:space="preserve">bill </w:t>
      </w:r>
      <w:r w:rsidR="00C025BA" w:rsidRPr="0068442A">
        <w:rPr>
          <w:rFonts w:ascii="Times New Roman" w:hAnsi="Times New Roman" w:cs="Times New Roman"/>
        </w:rPr>
        <w:t>rarely addresses qualitative</w:t>
      </w:r>
      <w:r w:rsidR="00635E40" w:rsidRPr="0068442A">
        <w:rPr>
          <w:rFonts w:ascii="Times New Roman" w:hAnsi="Times New Roman" w:cs="Times New Roman"/>
        </w:rPr>
        <w:t xml:space="preserve"> and gender-sensitive</w:t>
      </w:r>
      <w:r w:rsidRPr="0068442A">
        <w:rPr>
          <w:rFonts w:ascii="Times New Roman" w:hAnsi="Times New Roman" w:cs="Times New Roman"/>
        </w:rPr>
        <w:t xml:space="preserve"> issues</w:t>
      </w:r>
      <w:r w:rsidR="00B5056B" w:rsidRPr="0068442A">
        <w:rPr>
          <w:rFonts w:ascii="Times New Roman" w:hAnsi="Times New Roman" w:cs="Times New Roman"/>
        </w:rPr>
        <w:t xml:space="preserve">; rather, it </w:t>
      </w:r>
      <w:r w:rsidR="00FF738D">
        <w:rPr>
          <w:rFonts w:ascii="Times New Roman" w:hAnsi="Times New Roman" w:cs="Times New Roman"/>
        </w:rPr>
        <w:t>f</w:t>
      </w:r>
      <w:r w:rsidRPr="0068442A">
        <w:rPr>
          <w:rFonts w:ascii="Times New Roman" w:hAnsi="Times New Roman" w:cs="Times New Roman"/>
        </w:rPr>
        <w:t>ocuse</w:t>
      </w:r>
      <w:r w:rsidR="00FF738D">
        <w:rPr>
          <w:rFonts w:ascii="Times New Roman" w:hAnsi="Times New Roman" w:cs="Times New Roman"/>
        </w:rPr>
        <w:t>s</w:t>
      </w:r>
      <w:r w:rsidRPr="0068442A">
        <w:rPr>
          <w:rFonts w:ascii="Times New Roman" w:hAnsi="Times New Roman" w:cs="Times New Roman"/>
        </w:rPr>
        <w:t xml:space="preserve"> on boosting enrolment rates. </w:t>
      </w:r>
    </w:p>
    <w:p w14:paraId="01B3C1E0" w14:textId="1A4274AF" w:rsidR="00D94E8C" w:rsidRPr="0068442A" w:rsidRDefault="008479C9" w:rsidP="00D94E8C">
      <w:pPr>
        <w:spacing w:after="200" w:line="360" w:lineRule="auto"/>
        <w:ind w:firstLine="720"/>
        <w:jc w:val="both"/>
        <w:rPr>
          <w:rFonts w:ascii="Times New Roman" w:hAnsi="Times New Roman" w:cs="Times New Roman"/>
        </w:rPr>
      </w:pPr>
      <w:r w:rsidRPr="0068442A">
        <w:rPr>
          <w:rFonts w:ascii="Times New Roman" w:hAnsi="Times New Roman" w:cs="Times New Roman"/>
        </w:rPr>
        <w:lastRenderedPageBreak/>
        <w:t>What can be inferred from the description</w:t>
      </w:r>
      <w:r w:rsidR="00235B00" w:rsidRPr="0068442A">
        <w:rPr>
          <w:rFonts w:ascii="Times New Roman" w:hAnsi="Times New Roman" w:cs="Times New Roman"/>
        </w:rPr>
        <w:t>s</w:t>
      </w:r>
      <w:r w:rsidRPr="0068442A">
        <w:rPr>
          <w:rFonts w:ascii="Times New Roman" w:hAnsi="Times New Roman" w:cs="Times New Roman"/>
        </w:rPr>
        <w:t xml:space="preserve"> of the sta</w:t>
      </w:r>
      <w:r w:rsidR="00C025BA" w:rsidRPr="0068442A">
        <w:rPr>
          <w:rFonts w:ascii="Times New Roman" w:hAnsi="Times New Roman" w:cs="Times New Roman"/>
        </w:rPr>
        <w:t>keholders is that t</w:t>
      </w:r>
      <w:r w:rsidR="005D1A1C" w:rsidRPr="0068442A">
        <w:rPr>
          <w:rFonts w:ascii="Times New Roman" w:hAnsi="Times New Roman" w:cs="Times New Roman"/>
        </w:rPr>
        <w:t>he reform</w:t>
      </w:r>
      <w:r w:rsidR="008A0E17" w:rsidRPr="0068442A">
        <w:rPr>
          <w:rFonts w:ascii="Times New Roman" w:hAnsi="Times New Roman" w:cs="Times New Roman"/>
        </w:rPr>
        <w:t xml:space="preserve"> does</w:t>
      </w:r>
      <w:r w:rsidR="00C025BA" w:rsidRPr="0068442A">
        <w:rPr>
          <w:rFonts w:ascii="Times New Roman" w:hAnsi="Times New Roman" w:cs="Times New Roman"/>
        </w:rPr>
        <w:t xml:space="preserve"> </w:t>
      </w:r>
      <w:r w:rsidR="008A0E17" w:rsidRPr="0068442A">
        <w:rPr>
          <w:rFonts w:ascii="Times New Roman" w:hAnsi="Times New Roman" w:cs="Times New Roman"/>
        </w:rPr>
        <w:t>not have a strong gender equality focus</w:t>
      </w:r>
      <w:r w:rsidR="00235B00" w:rsidRPr="0068442A">
        <w:rPr>
          <w:rFonts w:ascii="Times New Roman" w:hAnsi="Times New Roman" w:cs="Times New Roman"/>
        </w:rPr>
        <w:t>;</w:t>
      </w:r>
      <w:r w:rsidR="008A0E17" w:rsidRPr="0068442A">
        <w:rPr>
          <w:rFonts w:ascii="Times New Roman" w:hAnsi="Times New Roman" w:cs="Times New Roman"/>
        </w:rPr>
        <w:t xml:space="preserve"> neither </w:t>
      </w:r>
      <w:r w:rsidR="00235B00" w:rsidRPr="0068442A">
        <w:rPr>
          <w:rFonts w:ascii="Times New Roman" w:hAnsi="Times New Roman" w:cs="Times New Roman"/>
        </w:rPr>
        <w:t xml:space="preserve">does </w:t>
      </w:r>
      <w:r w:rsidR="008A0E17" w:rsidRPr="0068442A">
        <w:rPr>
          <w:rFonts w:ascii="Times New Roman" w:hAnsi="Times New Roman" w:cs="Times New Roman"/>
        </w:rPr>
        <w:t xml:space="preserve">it </w:t>
      </w:r>
      <w:r w:rsidR="00C025BA" w:rsidRPr="0068442A">
        <w:rPr>
          <w:rFonts w:ascii="Times New Roman" w:hAnsi="Times New Roman" w:cs="Times New Roman"/>
        </w:rPr>
        <w:t>touch upon</w:t>
      </w:r>
      <w:r w:rsidR="008A0E17" w:rsidRPr="0068442A">
        <w:rPr>
          <w:rFonts w:ascii="Times New Roman" w:hAnsi="Times New Roman" w:cs="Times New Roman"/>
        </w:rPr>
        <w:t xml:space="preserve"> the issues </w:t>
      </w:r>
      <w:r w:rsidR="00235B00" w:rsidRPr="0068442A">
        <w:rPr>
          <w:rFonts w:ascii="Times New Roman" w:hAnsi="Times New Roman" w:cs="Times New Roman"/>
        </w:rPr>
        <w:t xml:space="preserve">that need </w:t>
      </w:r>
      <w:r w:rsidR="008A0E17" w:rsidRPr="0068442A">
        <w:rPr>
          <w:rFonts w:ascii="Times New Roman" w:hAnsi="Times New Roman" w:cs="Times New Roman"/>
        </w:rPr>
        <w:t xml:space="preserve">to be addressed in the education system to </w:t>
      </w:r>
      <w:r w:rsidR="001749A3" w:rsidRPr="0068442A">
        <w:rPr>
          <w:rFonts w:ascii="Times New Roman" w:hAnsi="Times New Roman" w:cs="Times New Roman"/>
        </w:rPr>
        <w:t>strengthen girls’ personal development</w:t>
      </w:r>
      <w:r w:rsidR="008A0E17" w:rsidRPr="0068442A">
        <w:rPr>
          <w:rFonts w:ascii="Times New Roman" w:hAnsi="Times New Roman" w:cs="Times New Roman"/>
        </w:rPr>
        <w:t xml:space="preserve">. </w:t>
      </w:r>
      <w:r w:rsidR="00D94E8C" w:rsidRPr="0068442A">
        <w:rPr>
          <w:rFonts w:ascii="Times New Roman" w:hAnsi="Times New Roman" w:cs="Times New Roman"/>
        </w:rPr>
        <w:t>The central argument and rationale</w:t>
      </w:r>
      <w:r w:rsidR="008A0E17" w:rsidRPr="0068442A">
        <w:rPr>
          <w:rFonts w:ascii="Times New Roman" w:hAnsi="Times New Roman" w:cs="Times New Roman"/>
        </w:rPr>
        <w:t xml:space="preserve"> focuses exclusively on </w:t>
      </w:r>
      <w:r w:rsidR="00235B00" w:rsidRPr="0068442A">
        <w:rPr>
          <w:rFonts w:ascii="Times New Roman" w:hAnsi="Times New Roman" w:cs="Times New Roman"/>
        </w:rPr>
        <w:t xml:space="preserve">the </w:t>
      </w:r>
      <w:r w:rsidR="008A0E17" w:rsidRPr="0068442A">
        <w:rPr>
          <w:rFonts w:ascii="Times New Roman" w:hAnsi="Times New Roman" w:cs="Times New Roman"/>
        </w:rPr>
        <w:t>lift</w:t>
      </w:r>
      <w:r w:rsidR="00235B00" w:rsidRPr="0068442A">
        <w:rPr>
          <w:rFonts w:ascii="Times New Roman" w:hAnsi="Times New Roman" w:cs="Times New Roman"/>
        </w:rPr>
        <w:t>ing</w:t>
      </w:r>
      <w:r w:rsidR="008A0E17" w:rsidRPr="0068442A">
        <w:rPr>
          <w:rFonts w:ascii="Times New Roman" w:hAnsi="Times New Roman" w:cs="Times New Roman"/>
        </w:rPr>
        <w:t xml:space="preserve"> of </w:t>
      </w:r>
      <w:r w:rsidR="00235B00" w:rsidRPr="0068442A">
        <w:rPr>
          <w:rFonts w:ascii="Times New Roman" w:hAnsi="Times New Roman" w:cs="Times New Roman"/>
        </w:rPr>
        <w:t xml:space="preserve">the </w:t>
      </w:r>
      <w:r w:rsidR="008A0E17" w:rsidRPr="0068442A">
        <w:rPr>
          <w:rFonts w:ascii="Times New Roman" w:hAnsi="Times New Roman" w:cs="Times New Roman"/>
        </w:rPr>
        <w:t xml:space="preserve">girls’ headscarf </w:t>
      </w:r>
      <w:r w:rsidR="00235B00" w:rsidRPr="0068442A">
        <w:rPr>
          <w:rFonts w:ascii="Times New Roman" w:hAnsi="Times New Roman" w:cs="Times New Roman"/>
        </w:rPr>
        <w:t xml:space="preserve">ban </w:t>
      </w:r>
      <w:r w:rsidR="00E62400" w:rsidRPr="0068442A">
        <w:rPr>
          <w:rFonts w:ascii="Times New Roman" w:hAnsi="Times New Roman" w:cs="Times New Roman"/>
        </w:rPr>
        <w:t xml:space="preserve">as a way to </w:t>
      </w:r>
      <w:r w:rsidR="008A0E17" w:rsidRPr="0068442A">
        <w:rPr>
          <w:rFonts w:ascii="Times New Roman" w:hAnsi="Times New Roman" w:cs="Times New Roman"/>
        </w:rPr>
        <w:t xml:space="preserve">increase </w:t>
      </w:r>
      <w:r w:rsidR="00235B00" w:rsidRPr="0068442A">
        <w:rPr>
          <w:rFonts w:ascii="Times New Roman" w:hAnsi="Times New Roman" w:cs="Times New Roman"/>
        </w:rPr>
        <w:t xml:space="preserve">girls’ </w:t>
      </w:r>
      <w:r w:rsidR="008A0E17" w:rsidRPr="0068442A">
        <w:rPr>
          <w:rFonts w:ascii="Times New Roman" w:hAnsi="Times New Roman" w:cs="Times New Roman"/>
        </w:rPr>
        <w:t>participation</w:t>
      </w:r>
      <w:r w:rsidR="00235B00" w:rsidRPr="0068442A">
        <w:rPr>
          <w:rFonts w:ascii="Times New Roman" w:hAnsi="Times New Roman" w:cs="Times New Roman"/>
        </w:rPr>
        <w:t xml:space="preserve"> in school</w:t>
      </w:r>
      <w:r w:rsidR="008A0E17" w:rsidRPr="0068442A">
        <w:rPr>
          <w:rFonts w:ascii="Times New Roman" w:hAnsi="Times New Roman" w:cs="Times New Roman"/>
        </w:rPr>
        <w:t xml:space="preserve">, with no regard for the </w:t>
      </w:r>
      <w:r w:rsidR="00D94E8C" w:rsidRPr="0068442A">
        <w:rPr>
          <w:rFonts w:ascii="Times New Roman" w:hAnsi="Times New Roman" w:cs="Times New Roman"/>
        </w:rPr>
        <w:t xml:space="preserve">unequal everyday </w:t>
      </w:r>
      <w:r w:rsidR="008A0E17" w:rsidRPr="0068442A">
        <w:rPr>
          <w:rFonts w:ascii="Times New Roman" w:hAnsi="Times New Roman" w:cs="Times New Roman"/>
        </w:rPr>
        <w:t>gende</w:t>
      </w:r>
      <w:r w:rsidR="00D94E8C" w:rsidRPr="0068442A">
        <w:rPr>
          <w:rFonts w:ascii="Times New Roman" w:hAnsi="Times New Roman" w:cs="Times New Roman"/>
        </w:rPr>
        <w:t>r relationships</w:t>
      </w:r>
      <w:r w:rsidR="008A0E17" w:rsidRPr="0068442A">
        <w:rPr>
          <w:rFonts w:ascii="Times New Roman" w:hAnsi="Times New Roman" w:cs="Times New Roman"/>
        </w:rPr>
        <w:t xml:space="preserve"> </w:t>
      </w:r>
      <w:r w:rsidR="00144560" w:rsidRPr="0068442A">
        <w:rPr>
          <w:rFonts w:ascii="Times New Roman" w:hAnsi="Times New Roman" w:cs="Times New Roman"/>
        </w:rPr>
        <w:t xml:space="preserve">and </w:t>
      </w:r>
      <w:r w:rsidR="008A0E17" w:rsidRPr="0068442A">
        <w:rPr>
          <w:rFonts w:ascii="Times New Roman" w:hAnsi="Times New Roman" w:cs="Times New Roman"/>
        </w:rPr>
        <w:t>patriarchal culture promoted both within and outsid</w:t>
      </w:r>
      <w:r w:rsidR="00AE5913" w:rsidRPr="0068442A">
        <w:rPr>
          <w:rFonts w:ascii="Times New Roman" w:hAnsi="Times New Roman" w:cs="Times New Roman"/>
        </w:rPr>
        <w:t>e</w:t>
      </w:r>
      <w:r w:rsidR="008A0E17" w:rsidRPr="0068442A">
        <w:rPr>
          <w:rFonts w:ascii="Times New Roman" w:hAnsi="Times New Roman" w:cs="Times New Roman"/>
        </w:rPr>
        <w:t xml:space="preserve"> the schools</w:t>
      </w:r>
      <w:r w:rsidR="004D757F" w:rsidRPr="0068442A">
        <w:rPr>
          <w:rFonts w:ascii="Times New Roman" w:hAnsi="Times New Roman" w:cs="Times New Roman"/>
        </w:rPr>
        <w:t xml:space="preserve">, </w:t>
      </w:r>
      <w:r w:rsidR="00BC58CE">
        <w:rPr>
          <w:rFonts w:ascii="Times New Roman" w:hAnsi="Times New Roman" w:cs="Times New Roman"/>
        </w:rPr>
        <w:t>nor for</w:t>
      </w:r>
      <w:r w:rsidR="00BC58CE" w:rsidRPr="0068442A">
        <w:rPr>
          <w:rFonts w:ascii="Times New Roman" w:hAnsi="Times New Roman" w:cs="Times New Roman"/>
        </w:rPr>
        <w:t xml:space="preserve"> </w:t>
      </w:r>
      <w:r w:rsidR="004D757F" w:rsidRPr="0068442A">
        <w:rPr>
          <w:rFonts w:ascii="Times New Roman" w:hAnsi="Times New Roman" w:cs="Times New Roman"/>
        </w:rPr>
        <w:t>broader</w:t>
      </w:r>
      <w:r w:rsidR="008A0E17" w:rsidRPr="0068442A">
        <w:rPr>
          <w:rFonts w:ascii="Times New Roman" w:hAnsi="Times New Roman" w:cs="Times New Roman"/>
        </w:rPr>
        <w:t xml:space="preserve"> forms of discrimination related to gender</w:t>
      </w:r>
      <w:r w:rsidR="00235B00" w:rsidRPr="0068442A">
        <w:rPr>
          <w:rFonts w:ascii="Times New Roman" w:hAnsi="Times New Roman" w:cs="Times New Roman"/>
        </w:rPr>
        <w:t>,</w:t>
      </w:r>
      <w:r w:rsidR="008A0E17" w:rsidRPr="0068442A">
        <w:rPr>
          <w:rFonts w:ascii="Times New Roman" w:hAnsi="Times New Roman" w:cs="Times New Roman"/>
        </w:rPr>
        <w:t xml:space="preserve"> which </w:t>
      </w:r>
      <w:r w:rsidR="00235B00" w:rsidRPr="0068442A">
        <w:rPr>
          <w:rFonts w:ascii="Times New Roman" w:hAnsi="Times New Roman" w:cs="Times New Roman"/>
        </w:rPr>
        <w:t>have been identified as the</w:t>
      </w:r>
      <w:r w:rsidR="008A0E17" w:rsidRPr="0068442A">
        <w:rPr>
          <w:rFonts w:ascii="Times New Roman" w:hAnsi="Times New Roman" w:cs="Times New Roman"/>
        </w:rPr>
        <w:t xml:space="preserve"> major issues </w:t>
      </w:r>
      <w:r w:rsidR="00235B00" w:rsidRPr="0068442A">
        <w:rPr>
          <w:rFonts w:ascii="Times New Roman" w:hAnsi="Times New Roman" w:cs="Times New Roman"/>
        </w:rPr>
        <w:t xml:space="preserve">that must </w:t>
      </w:r>
      <w:r w:rsidR="008A0E17" w:rsidRPr="0068442A">
        <w:rPr>
          <w:rFonts w:ascii="Times New Roman" w:hAnsi="Times New Roman" w:cs="Times New Roman"/>
        </w:rPr>
        <w:t xml:space="preserve">be addressed </w:t>
      </w:r>
      <w:r w:rsidR="00235B00" w:rsidRPr="0068442A">
        <w:rPr>
          <w:rFonts w:ascii="Times New Roman" w:hAnsi="Times New Roman" w:cs="Times New Roman"/>
        </w:rPr>
        <w:t>to establish</w:t>
      </w:r>
      <w:r w:rsidR="008A0E17" w:rsidRPr="0068442A">
        <w:rPr>
          <w:rFonts w:ascii="Times New Roman" w:hAnsi="Times New Roman" w:cs="Times New Roman"/>
        </w:rPr>
        <w:t xml:space="preserve"> broader gender equality within the education system </w:t>
      </w:r>
      <w:r w:rsidR="00155852" w:rsidRPr="0068442A">
        <w:rPr>
          <w:rFonts w:ascii="Times New Roman" w:hAnsi="Times New Roman" w:cs="Times New Roman"/>
          <w:color w:val="333333"/>
        </w:rPr>
        <w:t>(</w:t>
      </w:r>
      <w:r w:rsidR="001749A3" w:rsidRPr="0068442A">
        <w:rPr>
          <w:rFonts w:ascii="Times New Roman" w:hAnsi="Times New Roman" w:cs="Times New Roman"/>
        </w:rPr>
        <w:t>Cin,</w:t>
      </w:r>
      <w:r w:rsidR="00155852" w:rsidRPr="0068442A">
        <w:rPr>
          <w:rFonts w:ascii="Times New Roman" w:hAnsi="Times New Roman" w:cs="Times New Roman"/>
        </w:rPr>
        <w:t xml:space="preserve"> 2017</w:t>
      </w:r>
      <w:r w:rsidR="001749A3" w:rsidRPr="0068442A">
        <w:rPr>
          <w:rFonts w:ascii="Times New Roman" w:hAnsi="Times New Roman" w:cs="Times New Roman"/>
          <w:color w:val="333333"/>
        </w:rPr>
        <w:t xml:space="preserve">; </w:t>
      </w:r>
      <w:r w:rsidR="000F1A26" w:rsidRPr="0068442A">
        <w:rPr>
          <w:rFonts w:ascii="Times New Roman" w:hAnsi="Times New Roman" w:cs="Times New Roman"/>
        </w:rPr>
        <w:t>Gumus</w:t>
      </w:r>
      <w:r w:rsidR="00D94E8C" w:rsidRPr="0068442A">
        <w:rPr>
          <w:rFonts w:ascii="Times New Roman" w:hAnsi="Times New Roman" w:cs="Times New Roman"/>
        </w:rPr>
        <w:t xml:space="preserve"> </w:t>
      </w:r>
      <w:r w:rsidR="006522C7" w:rsidRPr="0068442A">
        <w:rPr>
          <w:rFonts w:ascii="Times New Roman" w:hAnsi="Times New Roman" w:cs="Times New Roman"/>
        </w:rPr>
        <w:t>&amp;</w:t>
      </w:r>
      <w:r w:rsidR="001749A3" w:rsidRPr="0068442A">
        <w:rPr>
          <w:rFonts w:ascii="Times New Roman" w:hAnsi="Times New Roman" w:cs="Times New Roman"/>
        </w:rPr>
        <w:t xml:space="preserve"> Chudgar</w:t>
      </w:r>
      <w:r w:rsidR="00D94E8C" w:rsidRPr="0068442A">
        <w:rPr>
          <w:rFonts w:ascii="Times New Roman" w:hAnsi="Times New Roman" w:cs="Times New Roman"/>
        </w:rPr>
        <w:t>,</w:t>
      </w:r>
      <w:r w:rsidR="001749A3" w:rsidRPr="0068442A">
        <w:rPr>
          <w:rFonts w:ascii="Times New Roman" w:hAnsi="Times New Roman" w:cs="Times New Roman"/>
        </w:rPr>
        <w:t xml:space="preserve"> 2016</w:t>
      </w:r>
      <w:r w:rsidR="008A0E17" w:rsidRPr="0068442A">
        <w:rPr>
          <w:rFonts w:ascii="Times New Roman" w:hAnsi="Times New Roman" w:cs="Times New Roman"/>
        </w:rPr>
        <w:t>)</w:t>
      </w:r>
      <w:r w:rsidR="00FD2978" w:rsidRPr="0068442A">
        <w:rPr>
          <w:rFonts w:ascii="Times New Roman" w:hAnsi="Times New Roman" w:cs="Times New Roman"/>
        </w:rPr>
        <w:t xml:space="preserve">. </w:t>
      </w:r>
    </w:p>
    <w:p w14:paraId="274407B3" w14:textId="4EBAE89C" w:rsidR="0070406E" w:rsidRPr="0068442A" w:rsidRDefault="00D5479C" w:rsidP="00F35FE3">
      <w:pPr>
        <w:autoSpaceDE w:val="0"/>
        <w:autoSpaceDN w:val="0"/>
        <w:adjustRightInd w:val="0"/>
        <w:spacing w:after="0" w:line="360" w:lineRule="auto"/>
        <w:ind w:firstLine="720"/>
        <w:jc w:val="both"/>
        <w:rPr>
          <w:rFonts w:ascii="Times New Roman" w:hAnsi="Times New Roman" w:cs="Times New Roman"/>
        </w:rPr>
      </w:pPr>
      <w:r w:rsidRPr="0068442A">
        <w:rPr>
          <w:rFonts w:ascii="Times New Roman" w:hAnsi="Times New Roman" w:cs="Times New Roman"/>
        </w:rPr>
        <w:t>The</w:t>
      </w:r>
      <w:r w:rsidR="00FD2978" w:rsidRPr="0068442A">
        <w:rPr>
          <w:rFonts w:ascii="Times New Roman" w:hAnsi="Times New Roman" w:cs="Times New Roman"/>
        </w:rPr>
        <w:t xml:space="preserve"> stakeholder</w:t>
      </w:r>
      <w:r w:rsidRPr="0068442A">
        <w:rPr>
          <w:rFonts w:ascii="Times New Roman" w:hAnsi="Times New Roman" w:cs="Times New Roman"/>
        </w:rPr>
        <w:t xml:space="preserve"> interviews</w:t>
      </w:r>
      <w:r w:rsidR="00537170" w:rsidRPr="0068442A">
        <w:rPr>
          <w:rFonts w:ascii="Times New Roman" w:hAnsi="Times New Roman" w:cs="Times New Roman"/>
        </w:rPr>
        <w:t xml:space="preserve"> show that Turkey </w:t>
      </w:r>
      <w:r w:rsidRPr="0068442A">
        <w:rPr>
          <w:rFonts w:ascii="Times New Roman" w:hAnsi="Times New Roman" w:cs="Times New Roman"/>
        </w:rPr>
        <w:t xml:space="preserve">has </w:t>
      </w:r>
      <w:r w:rsidR="00FD2978" w:rsidRPr="0068442A">
        <w:rPr>
          <w:rFonts w:ascii="Times New Roman" w:hAnsi="Times New Roman" w:cs="Times New Roman"/>
        </w:rPr>
        <w:t>adopt</w:t>
      </w:r>
      <w:r w:rsidRPr="0068442A">
        <w:rPr>
          <w:rFonts w:ascii="Times New Roman" w:hAnsi="Times New Roman" w:cs="Times New Roman"/>
        </w:rPr>
        <w:t>ed</w:t>
      </w:r>
      <w:r w:rsidR="00FD2978" w:rsidRPr="0068442A">
        <w:rPr>
          <w:rFonts w:ascii="Times New Roman" w:hAnsi="Times New Roman" w:cs="Times New Roman"/>
        </w:rPr>
        <w:t xml:space="preserve"> a human capital and rights perspective towa</w:t>
      </w:r>
      <w:r w:rsidR="00537170" w:rsidRPr="0068442A">
        <w:rPr>
          <w:rFonts w:ascii="Times New Roman" w:hAnsi="Times New Roman" w:cs="Times New Roman"/>
        </w:rPr>
        <w:t>rds gender equality, meaning girls’</w:t>
      </w:r>
      <w:r w:rsidR="0086405E" w:rsidRPr="0068442A">
        <w:rPr>
          <w:rFonts w:ascii="Times New Roman" w:hAnsi="Times New Roman" w:cs="Times New Roman"/>
        </w:rPr>
        <w:t xml:space="preserve"> access to education is</w:t>
      </w:r>
      <w:r w:rsidR="00537170" w:rsidRPr="0068442A">
        <w:rPr>
          <w:rFonts w:ascii="Times New Roman" w:hAnsi="Times New Roman" w:cs="Times New Roman"/>
        </w:rPr>
        <w:t xml:space="preserve"> seen as a </w:t>
      </w:r>
      <w:r w:rsidR="0086405E" w:rsidRPr="0068442A">
        <w:rPr>
          <w:rFonts w:ascii="Times New Roman" w:hAnsi="Times New Roman" w:cs="Times New Roman"/>
        </w:rPr>
        <w:t>right</w:t>
      </w:r>
      <w:r w:rsidRPr="0068442A">
        <w:rPr>
          <w:rFonts w:ascii="Times New Roman" w:hAnsi="Times New Roman" w:cs="Times New Roman"/>
        </w:rPr>
        <w:t>.</w:t>
      </w:r>
      <w:r w:rsidR="0086405E" w:rsidRPr="0068442A">
        <w:rPr>
          <w:rFonts w:ascii="Times New Roman" w:hAnsi="Times New Roman" w:cs="Times New Roman"/>
        </w:rPr>
        <w:t xml:space="preserve"> </w:t>
      </w:r>
      <w:r w:rsidRPr="0068442A">
        <w:rPr>
          <w:rFonts w:ascii="Times New Roman" w:hAnsi="Times New Roman" w:cs="Times New Roman"/>
        </w:rPr>
        <w:t>T</w:t>
      </w:r>
      <w:r w:rsidR="0086405E" w:rsidRPr="0068442A">
        <w:rPr>
          <w:rFonts w:ascii="Times New Roman" w:hAnsi="Times New Roman" w:cs="Times New Roman"/>
        </w:rPr>
        <w:t xml:space="preserve">he new reform attempts to ensure </w:t>
      </w:r>
      <w:r w:rsidR="00C025BA" w:rsidRPr="0068442A">
        <w:rPr>
          <w:rFonts w:ascii="Times New Roman" w:hAnsi="Times New Roman" w:cs="Times New Roman"/>
        </w:rPr>
        <w:t>th</w:t>
      </w:r>
      <w:r w:rsidRPr="0068442A">
        <w:rPr>
          <w:rFonts w:ascii="Times New Roman" w:hAnsi="Times New Roman" w:cs="Times New Roman"/>
        </w:rPr>
        <w:t>is</w:t>
      </w:r>
      <w:r w:rsidR="00C025BA" w:rsidRPr="0068442A">
        <w:rPr>
          <w:rFonts w:ascii="Times New Roman" w:hAnsi="Times New Roman" w:cs="Times New Roman"/>
        </w:rPr>
        <w:t xml:space="preserve"> access</w:t>
      </w:r>
      <w:r w:rsidR="0086405E" w:rsidRPr="0068442A">
        <w:rPr>
          <w:rFonts w:ascii="Times New Roman" w:hAnsi="Times New Roman" w:cs="Times New Roman"/>
        </w:rPr>
        <w:t>,</w:t>
      </w:r>
      <w:r w:rsidR="00C025BA" w:rsidRPr="0068442A">
        <w:rPr>
          <w:rFonts w:ascii="Times New Roman" w:hAnsi="Times New Roman" w:cs="Times New Roman"/>
        </w:rPr>
        <w:t xml:space="preserve"> but</w:t>
      </w:r>
      <w:r w:rsidR="0086405E" w:rsidRPr="0068442A">
        <w:rPr>
          <w:rFonts w:ascii="Times New Roman" w:hAnsi="Times New Roman" w:cs="Times New Roman"/>
        </w:rPr>
        <w:t xml:space="preserve"> gender is read as a biological category</w:t>
      </w:r>
      <w:r w:rsidR="009238D7" w:rsidRPr="0068442A">
        <w:rPr>
          <w:rFonts w:ascii="Times New Roman" w:hAnsi="Times New Roman" w:cs="Times New Roman"/>
        </w:rPr>
        <w:t>; t</w:t>
      </w:r>
      <w:r w:rsidR="00537170" w:rsidRPr="0068442A">
        <w:rPr>
          <w:rFonts w:ascii="Times New Roman" w:hAnsi="Times New Roman" w:cs="Times New Roman"/>
        </w:rPr>
        <w:t>he opening of more religious schools and the lif</w:t>
      </w:r>
      <w:r w:rsidRPr="0068442A">
        <w:rPr>
          <w:rFonts w:ascii="Times New Roman" w:hAnsi="Times New Roman" w:cs="Times New Roman"/>
        </w:rPr>
        <w:t>t</w:t>
      </w:r>
      <w:r w:rsidR="00537170" w:rsidRPr="0068442A">
        <w:rPr>
          <w:rFonts w:ascii="Times New Roman" w:hAnsi="Times New Roman" w:cs="Times New Roman"/>
        </w:rPr>
        <w:t xml:space="preserve"> of </w:t>
      </w:r>
      <w:r w:rsidRPr="0068442A">
        <w:rPr>
          <w:rFonts w:ascii="Times New Roman" w:hAnsi="Times New Roman" w:cs="Times New Roman"/>
        </w:rPr>
        <w:t xml:space="preserve">the </w:t>
      </w:r>
      <w:r w:rsidR="00537170" w:rsidRPr="0068442A">
        <w:rPr>
          <w:rFonts w:ascii="Times New Roman" w:hAnsi="Times New Roman" w:cs="Times New Roman"/>
        </w:rPr>
        <w:t xml:space="preserve">headscarf ban </w:t>
      </w:r>
      <w:r w:rsidRPr="0068442A">
        <w:rPr>
          <w:rFonts w:ascii="Times New Roman" w:hAnsi="Times New Roman" w:cs="Times New Roman"/>
        </w:rPr>
        <w:t>are</w:t>
      </w:r>
      <w:r w:rsidR="00537170" w:rsidRPr="0068442A">
        <w:rPr>
          <w:rFonts w:ascii="Times New Roman" w:hAnsi="Times New Roman" w:cs="Times New Roman"/>
        </w:rPr>
        <w:t xml:space="preserve"> seen as </w:t>
      </w:r>
      <w:r w:rsidRPr="0068442A">
        <w:rPr>
          <w:rFonts w:ascii="Times New Roman" w:hAnsi="Times New Roman" w:cs="Times New Roman"/>
        </w:rPr>
        <w:t xml:space="preserve">making </w:t>
      </w:r>
      <w:r w:rsidR="00537170" w:rsidRPr="0068442A">
        <w:rPr>
          <w:rFonts w:ascii="Times New Roman" w:hAnsi="Times New Roman" w:cs="Times New Roman"/>
        </w:rPr>
        <w:t>signifi</w:t>
      </w:r>
      <w:r w:rsidR="0086405E" w:rsidRPr="0068442A">
        <w:rPr>
          <w:rFonts w:ascii="Times New Roman" w:hAnsi="Times New Roman" w:cs="Times New Roman"/>
        </w:rPr>
        <w:t>cant progress</w:t>
      </w:r>
      <w:r w:rsidRPr="0068442A">
        <w:rPr>
          <w:rFonts w:ascii="Times New Roman" w:hAnsi="Times New Roman" w:cs="Times New Roman"/>
        </w:rPr>
        <w:t xml:space="preserve"> toward</w:t>
      </w:r>
      <w:r w:rsidR="0086405E" w:rsidRPr="0068442A">
        <w:rPr>
          <w:rFonts w:ascii="Times New Roman" w:hAnsi="Times New Roman" w:cs="Times New Roman"/>
        </w:rPr>
        <w:t xml:space="preserve"> closing the gender gap</w:t>
      </w:r>
      <w:r w:rsidR="000F1A26" w:rsidRPr="0068442A">
        <w:rPr>
          <w:rFonts w:ascii="Times New Roman" w:hAnsi="Times New Roman" w:cs="Times New Roman"/>
        </w:rPr>
        <w:t xml:space="preserve"> ensuring that the right of access to education is achie</w:t>
      </w:r>
      <w:r w:rsidR="00F35FE3" w:rsidRPr="0068442A">
        <w:rPr>
          <w:rFonts w:ascii="Times New Roman" w:hAnsi="Times New Roman" w:cs="Times New Roman"/>
        </w:rPr>
        <w:t>ved</w:t>
      </w:r>
      <w:r w:rsidR="0086405E" w:rsidRPr="0068442A">
        <w:rPr>
          <w:rFonts w:ascii="Times New Roman" w:hAnsi="Times New Roman" w:cs="Times New Roman"/>
        </w:rPr>
        <w:t>.</w:t>
      </w:r>
      <w:r w:rsidR="0070406E" w:rsidRPr="0068442A">
        <w:rPr>
          <w:rFonts w:ascii="Times New Roman" w:hAnsi="Times New Roman" w:cs="Times New Roman"/>
        </w:rPr>
        <w:t xml:space="preserve"> </w:t>
      </w:r>
      <w:r w:rsidR="00FD4D5D" w:rsidRPr="0068442A">
        <w:rPr>
          <w:rFonts w:ascii="Times New Roman" w:hAnsi="Times New Roman" w:cs="Times New Roman"/>
        </w:rPr>
        <w:t xml:space="preserve">Such frameworks draw on policy goals </w:t>
      </w:r>
      <w:r w:rsidR="00C34480" w:rsidRPr="0068442A">
        <w:rPr>
          <w:rFonts w:ascii="Times New Roman" w:hAnsi="Times New Roman" w:cs="Times New Roman"/>
        </w:rPr>
        <w:t xml:space="preserve">from </w:t>
      </w:r>
      <w:r w:rsidR="00FD4D5D" w:rsidRPr="0068442A">
        <w:rPr>
          <w:rFonts w:ascii="Times New Roman" w:hAnsi="Times New Roman" w:cs="Times New Roman"/>
        </w:rPr>
        <w:t xml:space="preserve">a reductionist perspective of </w:t>
      </w:r>
      <w:r w:rsidR="00C45095" w:rsidRPr="0068442A">
        <w:rPr>
          <w:rFonts w:ascii="Times New Roman" w:hAnsi="Times New Roman" w:cs="Times New Roman"/>
        </w:rPr>
        <w:t>positioning girls in an enrolment and access setting</w:t>
      </w:r>
      <w:r w:rsidR="001502A3" w:rsidRPr="0068442A">
        <w:rPr>
          <w:rFonts w:ascii="Times New Roman" w:hAnsi="Times New Roman" w:cs="Times New Roman"/>
        </w:rPr>
        <w:t>. A</w:t>
      </w:r>
      <w:r w:rsidR="00921BF1" w:rsidRPr="0068442A">
        <w:rPr>
          <w:rFonts w:ascii="Times New Roman" w:hAnsi="Times New Roman" w:cs="Times New Roman"/>
        </w:rPr>
        <w:t xml:space="preserve">lthough </w:t>
      </w:r>
      <w:r w:rsidR="001502A3" w:rsidRPr="0068442A">
        <w:rPr>
          <w:rFonts w:ascii="Times New Roman" w:hAnsi="Times New Roman" w:cs="Times New Roman"/>
        </w:rPr>
        <w:t xml:space="preserve">this is </w:t>
      </w:r>
      <w:r w:rsidR="00C45095" w:rsidRPr="0068442A">
        <w:rPr>
          <w:rFonts w:ascii="Times New Roman" w:hAnsi="Times New Roman" w:cs="Times New Roman"/>
        </w:rPr>
        <w:t>not in tension with human development or gender equality</w:t>
      </w:r>
      <w:r w:rsidR="001502A3" w:rsidRPr="0068442A">
        <w:rPr>
          <w:rFonts w:ascii="Times New Roman" w:hAnsi="Times New Roman" w:cs="Times New Roman"/>
        </w:rPr>
        <w:t xml:space="preserve">, it </w:t>
      </w:r>
      <w:r w:rsidR="00DE3141" w:rsidRPr="0068442A">
        <w:rPr>
          <w:rFonts w:ascii="Times New Roman" w:hAnsi="Times New Roman" w:cs="Times New Roman"/>
        </w:rPr>
        <w:t>is</w:t>
      </w:r>
      <w:r w:rsidR="00FD4D5D" w:rsidRPr="0068442A">
        <w:rPr>
          <w:rFonts w:ascii="Times New Roman" w:hAnsi="Times New Roman" w:cs="Times New Roman"/>
        </w:rPr>
        <w:t xml:space="preserve"> </w:t>
      </w:r>
      <w:r w:rsidR="00C45095" w:rsidRPr="0068442A">
        <w:rPr>
          <w:rFonts w:ascii="Times New Roman" w:hAnsi="Times New Roman" w:cs="Times New Roman"/>
        </w:rPr>
        <w:t>insufficient for gender justice claims in education</w:t>
      </w:r>
      <w:r w:rsidR="00367544" w:rsidRPr="0068442A">
        <w:rPr>
          <w:rFonts w:ascii="Times New Roman" w:hAnsi="Times New Roman" w:cs="Times New Roman"/>
        </w:rPr>
        <w:t>,</w:t>
      </w:r>
      <w:r w:rsidR="00C45095" w:rsidRPr="0068442A">
        <w:rPr>
          <w:rFonts w:ascii="Times New Roman" w:hAnsi="Times New Roman" w:cs="Times New Roman"/>
        </w:rPr>
        <w:t xml:space="preserve"> </w:t>
      </w:r>
      <w:r w:rsidR="001502A3" w:rsidRPr="0068442A">
        <w:rPr>
          <w:rFonts w:ascii="Times New Roman" w:hAnsi="Times New Roman" w:cs="Times New Roman"/>
        </w:rPr>
        <w:t>which seek</w:t>
      </w:r>
      <w:r w:rsidR="00921BF1" w:rsidRPr="0068442A">
        <w:rPr>
          <w:rFonts w:ascii="Times New Roman" w:hAnsi="Times New Roman" w:cs="Times New Roman"/>
        </w:rPr>
        <w:t xml:space="preserve"> to </w:t>
      </w:r>
      <w:r w:rsidR="00525808" w:rsidRPr="0068442A">
        <w:rPr>
          <w:rFonts w:ascii="Times New Roman" w:hAnsi="Times New Roman" w:cs="Times New Roman"/>
        </w:rPr>
        <w:t>promot</w:t>
      </w:r>
      <w:r w:rsidR="00921BF1" w:rsidRPr="0068442A">
        <w:rPr>
          <w:rFonts w:ascii="Times New Roman" w:hAnsi="Times New Roman" w:cs="Times New Roman"/>
        </w:rPr>
        <w:t>e</w:t>
      </w:r>
      <w:r w:rsidR="00525808" w:rsidRPr="0068442A">
        <w:rPr>
          <w:rFonts w:ascii="Times New Roman" w:hAnsi="Times New Roman" w:cs="Times New Roman"/>
        </w:rPr>
        <w:t xml:space="preserve"> </w:t>
      </w:r>
      <w:r w:rsidR="00C45095" w:rsidRPr="0068442A">
        <w:rPr>
          <w:rFonts w:ascii="Times New Roman" w:hAnsi="Times New Roman" w:cs="Times New Roman"/>
        </w:rPr>
        <w:t>moral, political, social and civic thought</w:t>
      </w:r>
      <w:r w:rsidR="00525808" w:rsidRPr="0068442A">
        <w:rPr>
          <w:rFonts w:ascii="Times New Roman" w:hAnsi="Times New Roman" w:cs="Times New Roman"/>
        </w:rPr>
        <w:t xml:space="preserve"> and entitlement. </w:t>
      </w:r>
      <w:r w:rsidR="00497DD3" w:rsidRPr="0068442A">
        <w:rPr>
          <w:rFonts w:ascii="Times New Roman" w:hAnsi="Times New Roman" w:cs="Times New Roman"/>
        </w:rPr>
        <w:t xml:space="preserve">So, failing to address the persistence of gender inequalities and overlooking socio-cultural influencing factors creating gender inequalities in education is a critical oversight. </w:t>
      </w:r>
      <w:r w:rsidR="00497DD3" w:rsidRPr="0068442A">
        <w:rPr>
          <w:rFonts w:ascii="Times New Roman" w:hAnsi="Times New Roman" w:cs="Times New Roman"/>
          <w:color w:val="000000"/>
        </w:rPr>
        <w:t xml:space="preserve">Such a superficial conceptualisation of gender equality in policy can severely affect the freedoms of girls and constrain their capabilities and exercise of agency. It also leaves in place the structural or social arrangements, as well as other mediating factors influencing their capabilities and their freedom to act on capabilities. </w:t>
      </w:r>
    </w:p>
    <w:p w14:paraId="255D5382" w14:textId="4D077285" w:rsidR="00497DD3" w:rsidRPr="0068442A" w:rsidRDefault="00C025BA" w:rsidP="000F1A26">
      <w:pPr>
        <w:spacing w:after="200" w:line="360" w:lineRule="auto"/>
        <w:ind w:firstLine="720"/>
        <w:jc w:val="both"/>
        <w:rPr>
          <w:rFonts w:ascii="Times New Roman" w:hAnsi="Times New Roman" w:cs="Times New Roman"/>
        </w:rPr>
      </w:pPr>
      <w:r w:rsidRPr="0068442A">
        <w:rPr>
          <w:rFonts w:ascii="Times New Roman" w:hAnsi="Times New Roman" w:cs="Times New Roman"/>
        </w:rPr>
        <w:t>From a capabilities perspective, gender equality in policy</w:t>
      </w:r>
      <w:r w:rsidR="00236977" w:rsidRPr="0068442A">
        <w:rPr>
          <w:rFonts w:ascii="Times New Roman" w:hAnsi="Times New Roman" w:cs="Times New Roman"/>
        </w:rPr>
        <w:t>-</w:t>
      </w:r>
      <w:r w:rsidRPr="0068442A">
        <w:rPr>
          <w:rFonts w:ascii="Times New Roman" w:hAnsi="Times New Roman" w:cs="Times New Roman"/>
        </w:rPr>
        <w:t xml:space="preserve">making should </w:t>
      </w:r>
      <w:r w:rsidR="00EE5DB7" w:rsidRPr="0068442A">
        <w:rPr>
          <w:rFonts w:ascii="Times New Roman" w:hAnsi="Times New Roman" w:cs="Times New Roman"/>
        </w:rPr>
        <w:t>seek to promote</w:t>
      </w:r>
      <w:r w:rsidRPr="0068442A">
        <w:rPr>
          <w:rFonts w:ascii="Times New Roman" w:hAnsi="Times New Roman" w:cs="Times New Roman"/>
        </w:rPr>
        <w:t xml:space="preserve"> girls’ agency through ameliorating gendered social forces </w:t>
      </w:r>
      <w:r w:rsidR="00EE5DB7" w:rsidRPr="0068442A">
        <w:rPr>
          <w:rFonts w:ascii="Times New Roman" w:hAnsi="Times New Roman" w:cs="Times New Roman"/>
        </w:rPr>
        <w:t xml:space="preserve">that are </w:t>
      </w:r>
      <w:r w:rsidRPr="0068442A">
        <w:rPr>
          <w:rFonts w:ascii="Times New Roman" w:hAnsi="Times New Roman" w:cs="Times New Roman"/>
        </w:rPr>
        <w:t xml:space="preserve">shaping girls and boys differently in </w:t>
      </w:r>
      <w:r w:rsidR="00EE5DB7" w:rsidRPr="0068442A">
        <w:rPr>
          <w:rFonts w:ascii="Times New Roman" w:hAnsi="Times New Roman" w:cs="Times New Roman"/>
        </w:rPr>
        <w:t xml:space="preserve">the </w:t>
      </w:r>
      <w:r w:rsidRPr="0068442A">
        <w:rPr>
          <w:rFonts w:ascii="Times New Roman" w:hAnsi="Times New Roman" w:cs="Times New Roman"/>
        </w:rPr>
        <w:t>school environment</w:t>
      </w:r>
      <w:r w:rsidR="000B2DBF">
        <w:rPr>
          <w:rFonts w:ascii="Times New Roman" w:hAnsi="Times New Roman" w:cs="Times New Roman"/>
        </w:rPr>
        <w:t>,</w:t>
      </w:r>
      <w:r w:rsidR="009D1D18" w:rsidRPr="0068442A">
        <w:rPr>
          <w:rFonts w:ascii="Times New Roman" w:hAnsi="Times New Roman" w:cs="Times New Roman"/>
        </w:rPr>
        <w:t xml:space="preserve"> </w:t>
      </w:r>
      <w:r w:rsidR="00F35FE3" w:rsidRPr="0068442A">
        <w:rPr>
          <w:rFonts w:ascii="Times New Roman" w:hAnsi="Times New Roman" w:cs="Times New Roman"/>
        </w:rPr>
        <w:t xml:space="preserve">and </w:t>
      </w:r>
      <w:r w:rsidR="000B2DBF">
        <w:rPr>
          <w:rFonts w:ascii="Times New Roman" w:hAnsi="Times New Roman" w:cs="Times New Roman"/>
        </w:rPr>
        <w:t xml:space="preserve">through </w:t>
      </w:r>
      <w:r w:rsidR="00F35FE3" w:rsidRPr="0068442A">
        <w:rPr>
          <w:rFonts w:ascii="Times New Roman" w:hAnsi="Times New Roman" w:cs="Times New Roman"/>
        </w:rPr>
        <w:t xml:space="preserve">providing meaningful education </w:t>
      </w:r>
      <w:r w:rsidR="009D1D18" w:rsidRPr="0068442A">
        <w:rPr>
          <w:rFonts w:ascii="Times New Roman" w:hAnsi="Times New Roman" w:cs="Times New Roman"/>
        </w:rPr>
        <w:t>(Unterhalter</w:t>
      </w:r>
      <w:r w:rsidR="00BF5913" w:rsidRPr="0068442A">
        <w:rPr>
          <w:rFonts w:ascii="Times New Roman" w:hAnsi="Times New Roman" w:cs="Times New Roman"/>
        </w:rPr>
        <w:t xml:space="preserve">, </w:t>
      </w:r>
      <w:r w:rsidRPr="0068442A">
        <w:rPr>
          <w:rFonts w:ascii="Times New Roman" w:hAnsi="Times New Roman" w:cs="Times New Roman"/>
        </w:rPr>
        <w:t>2007</w:t>
      </w:r>
      <w:r w:rsidR="00D6076F" w:rsidRPr="0068442A">
        <w:rPr>
          <w:rFonts w:ascii="Times New Roman" w:hAnsi="Times New Roman" w:cs="Times New Roman"/>
        </w:rPr>
        <w:t>a</w:t>
      </w:r>
      <w:r w:rsidRPr="0068442A">
        <w:rPr>
          <w:rFonts w:ascii="Times New Roman" w:hAnsi="Times New Roman" w:cs="Times New Roman"/>
        </w:rPr>
        <w:t>)</w:t>
      </w:r>
      <w:r w:rsidR="003E16FA" w:rsidRPr="0068442A">
        <w:rPr>
          <w:rFonts w:ascii="Times New Roman" w:hAnsi="Times New Roman" w:cs="Times New Roman"/>
        </w:rPr>
        <w:t>,</w:t>
      </w:r>
      <w:r w:rsidR="00525808" w:rsidRPr="0068442A">
        <w:rPr>
          <w:rFonts w:ascii="Times New Roman" w:hAnsi="Times New Roman" w:cs="Times New Roman"/>
        </w:rPr>
        <w:t xml:space="preserve"> whilst not ignoring the structures, behaviour and culture that favour or disadvantage boys. </w:t>
      </w:r>
      <w:r w:rsidR="00EE5DB7" w:rsidRPr="0068442A">
        <w:rPr>
          <w:rFonts w:ascii="Times New Roman" w:hAnsi="Times New Roman" w:cs="Times New Roman"/>
        </w:rPr>
        <w:t xml:space="preserve">Such a perspective </w:t>
      </w:r>
      <w:r w:rsidRPr="0068442A">
        <w:rPr>
          <w:rFonts w:ascii="Times New Roman" w:hAnsi="Times New Roman" w:cs="Times New Roman"/>
        </w:rPr>
        <w:t xml:space="preserve">is currently missing </w:t>
      </w:r>
      <w:r w:rsidR="00D245C7" w:rsidRPr="0068442A">
        <w:rPr>
          <w:rFonts w:ascii="Times New Roman" w:hAnsi="Times New Roman" w:cs="Times New Roman"/>
        </w:rPr>
        <w:t xml:space="preserve">from </w:t>
      </w:r>
      <w:r w:rsidRPr="0068442A">
        <w:rPr>
          <w:rFonts w:ascii="Times New Roman" w:hAnsi="Times New Roman" w:cs="Times New Roman"/>
        </w:rPr>
        <w:t xml:space="preserve">the </w:t>
      </w:r>
      <w:r w:rsidR="001749A3" w:rsidRPr="0068442A">
        <w:rPr>
          <w:rFonts w:ascii="Times New Roman" w:hAnsi="Times New Roman" w:cs="Times New Roman"/>
        </w:rPr>
        <w:t>mind-sets</w:t>
      </w:r>
      <w:r w:rsidRPr="0068442A">
        <w:rPr>
          <w:rFonts w:ascii="Times New Roman" w:hAnsi="Times New Roman" w:cs="Times New Roman"/>
        </w:rPr>
        <w:t xml:space="preserve"> of stakeholders and </w:t>
      </w:r>
      <w:r w:rsidR="00EE5DB7" w:rsidRPr="0068442A">
        <w:rPr>
          <w:rFonts w:ascii="Times New Roman" w:hAnsi="Times New Roman" w:cs="Times New Roman"/>
        </w:rPr>
        <w:t xml:space="preserve">the </w:t>
      </w:r>
      <w:r w:rsidRPr="0068442A">
        <w:rPr>
          <w:rFonts w:ascii="Times New Roman" w:hAnsi="Times New Roman" w:cs="Times New Roman"/>
        </w:rPr>
        <w:t>rationale of the reform.</w:t>
      </w:r>
      <w:r w:rsidR="001D776C" w:rsidRPr="0068442A">
        <w:rPr>
          <w:rFonts w:ascii="Times New Roman" w:hAnsi="Times New Roman" w:cs="Times New Roman"/>
          <w:color w:val="000000"/>
        </w:rPr>
        <w:t xml:space="preserve"> </w:t>
      </w:r>
      <w:r w:rsidR="00497DD3" w:rsidRPr="0068442A">
        <w:rPr>
          <w:rFonts w:ascii="Times New Roman" w:hAnsi="Times New Roman" w:cs="Times New Roman"/>
        </w:rPr>
        <w:t xml:space="preserve">What is more is that the stakeholders’ conceptualisation of gender equality heavily depends on girls being primary targets—there is no mention of boys— any policy goals and intervention targeted at gender equality would need to focus on both </w:t>
      </w:r>
      <w:r w:rsidR="000F1A26" w:rsidRPr="0068442A">
        <w:rPr>
          <w:rFonts w:ascii="Times New Roman" w:hAnsi="Times New Roman" w:cs="Times New Roman"/>
        </w:rPr>
        <w:t>genders</w:t>
      </w:r>
      <w:r w:rsidR="00497DD3" w:rsidRPr="0068442A">
        <w:rPr>
          <w:rFonts w:ascii="Times New Roman" w:hAnsi="Times New Roman" w:cs="Times New Roman"/>
        </w:rPr>
        <w:t xml:space="preserve">. It becomes evident that boys’ schooling, addressing the educational needs of </w:t>
      </w:r>
      <w:r w:rsidR="00497DD3" w:rsidRPr="0068442A">
        <w:rPr>
          <w:rStyle w:val="highlight"/>
          <w:rFonts w:ascii="Times New Roman" w:hAnsi="Times New Roman" w:cs="Times New Roman"/>
        </w:rPr>
        <w:t>boy</w:t>
      </w:r>
      <w:r w:rsidR="00426445" w:rsidRPr="0068442A">
        <w:rPr>
          <w:rStyle w:val="highlight"/>
          <w:rFonts w:ascii="Times New Roman" w:hAnsi="Times New Roman" w:cs="Times New Roman"/>
        </w:rPr>
        <w:t>s</w:t>
      </w:r>
      <w:r w:rsidR="00497DD3" w:rsidRPr="0068442A">
        <w:rPr>
          <w:rStyle w:val="highlight"/>
          <w:rFonts w:ascii="Times New Roman" w:hAnsi="Times New Roman" w:cs="Times New Roman"/>
        </w:rPr>
        <w:t xml:space="preserve"> or combating the toxic masculinity at schools</w:t>
      </w:r>
      <w:r w:rsidR="000F1A26" w:rsidRPr="0068442A">
        <w:rPr>
          <w:rStyle w:val="highlight"/>
          <w:rFonts w:ascii="Times New Roman" w:hAnsi="Times New Roman" w:cs="Times New Roman"/>
        </w:rPr>
        <w:t xml:space="preserve"> </w:t>
      </w:r>
      <w:r w:rsidR="00F35FE3" w:rsidRPr="0068442A">
        <w:rPr>
          <w:rStyle w:val="highlight"/>
          <w:rFonts w:ascii="Times New Roman" w:hAnsi="Times New Roman" w:cs="Times New Roman"/>
        </w:rPr>
        <w:t xml:space="preserve">which places men above women or validates </w:t>
      </w:r>
      <w:r w:rsidR="000F1A26" w:rsidRPr="0068442A">
        <w:rPr>
          <w:rStyle w:val="highlight"/>
          <w:rFonts w:ascii="Times New Roman" w:hAnsi="Times New Roman" w:cs="Times New Roman"/>
        </w:rPr>
        <w:t>masculine characteristic</w:t>
      </w:r>
      <w:r w:rsidR="000B2DBF">
        <w:rPr>
          <w:rStyle w:val="highlight"/>
          <w:rFonts w:ascii="Times New Roman" w:hAnsi="Times New Roman" w:cs="Times New Roman"/>
        </w:rPr>
        <w:t>s</w:t>
      </w:r>
      <w:r w:rsidR="000F1A26" w:rsidRPr="0068442A">
        <w:rPr>
          <w:rStyle w:val="highlight"/>
          <w:rFonts w:ascii="Times New Roman" w:hAnsi="Times New Roman" w:cs="Times New Roman"/>
        </w:rPr>
        <w:t xml:space="preserve"> as markers of domination and strength </w:t>
      </w:r>
      <w:r w:rsidR="00497DD3" w:rsidRPr="0068442A">
        <w:rPr>
          <w:rStyle w:val="highlight"/>
          <w:rFonts w:ascii="Times New Roman" w:hAnsi="Times New Roman" w:cs="Times New Roman"/>
        </w:rPr>
        <w:t>is less of a concern.</w:t>
      </w:r>
    </w:p>
    <w:p w14:paraId="37071A37" w14:textId="405CCB4D" w:rsidR="00864AC5" w:rsidRPr="0068442A" w:rsidRDefault="000C7350" w:rsidP="00BF1E10">
      <w:pPr>
        <w:autoSpaceDE w:val="0"/>
        <w:autoSpaceDN w:val="0"/>
        <w:adjustRightInd w:val="0"/>
        <w:spacing w:after="0" w:line="360" w:lineRule="auto"/>
        <w:ind w:firstLine="720"/>
        <w:jc w:val="both"/>
        <w:rPr>
          <w:rFonts w:ascii="Times New Roman" w:hAnsi="Times New Roman" w:cs="Times New Roman"/>
          <w:color w:val="000000"/>
        </w:rPr>
      </w:pPr>
      <w:r w:rsidRPr="0068442A">
        <w:rPr>
          <w:rFonts w:ascii="Times New Roman" w:hAnsi="Times New Roman" w:cs="Times New Roman"/>
          <w:color w:val="000000"/>
        </w:rPr>
        <w:t xml:space="preserve">Having pointed out the </w:t>
      </w:r>
      <w:r w:rsidR="009B496B" w:rsidRPr="0068442A">
        <w:rPr>
          <w:rFonts w:ascii="Times New Roman" w:hAnsi="Times New Roman" w:cs="Times New Roman"/>
          <w:color w:val="000000"/>
        </w:rPr>
        <w:t>narrow, fragmented and exclusionary gender equality understanding of the stakeholders in policy-making</w:t>
      </w:r>
      <w:r w:rsidR="00655206" w:rsidRPr="0068442A">
        <w:rPr>
          <w:rFonts w:ascii="Times New Roman" w:hAnsi="Times New Roman" w:cs="Times New Roman"/>
          <w:color w:val="000000"/>
        </w:rPr>
        <w:t xml:space="preserve">, we </w:t>
      </w:r>
      <w:r w:rsidR="009B496B" w:rsidRPr="0068442A">
        <w:rPr>
          <w:rFonts w:ascii="Times New Roman" w:hAnsi="Times New Roman" w:cs="Times New Roman"/>
          <w:color w:val="000000"/>
        </w:rPr>
        <w:t xml:space="preserve">now </w:t>
      </w:r>
      <w:r w:rsidR="00655206" w:rsidRPr="0068442A">
        <w:rPr>
          <w:rFonts w:ascii="Times New Roman" w:hAnsi="Times New Roman" w:cs="Times New Roman"/>
          <w:color w:val="000000"/>
        </w:rPr>
        <w:t>present the interviews with teachers</w:t>
      </w:r>
      <w:r w:rsidR="00FD3E75" w:rsidRPr="0068442A">
        <w:rPr>
          <w:rFonts w:ascii="Times New Roman" w:hAnsi="Times New Roman" w:cs="Times New Roman"/>
          <w:color w:val="000000"/>
        </w:rPr>
        <w:t xml:space="preserve"> as the practitioners of this reform</w:t>
      </w:r>
      <w:r w:rsidR="009B496B" w:rsidRPr="0068442A">
        <w:rPr>
          <w:rFonts w:ascii="Times New Roman" w:hAnsi="Times New Roman" w:cs="Times New Roman"/>
          <w:color w:val="000000"/>
        </w:rPr>
        <w:t xml:space="preserve"> to further explore </w:t>
      </w:r>
      <w:r w:rsidR="00655206" w:rsidRPr="0068442A">
        <w:rPr>
          <w:rFonts w:ascii="Times New Roman" w:hAnsi="Times New Roman" w:cs="Times New Roman"/>
          <w:color w:val="000000"/>
        </w:rPr>
        <w:t>the outcomes of th</w:t>
      </w:r>
      <w:r w:rsidR="009B496B" w:rsidRPr="0068442A">
        <w:rPr>
          <w:rFonts w:ascii="Times New Roman" w:hAnsi="Times New Roman" w:cs="Times New Roman"/>
          <w:color w:val="000000"/>
        </w:rPr>
        <w:t>is bill at schools and on girls.</w:t>
      </w:r>
    </w:p>
    <w:p w14:paraId="40CEBEB8" w14:textId="77777777" w:rsidR="001749A3" w:rsidRPr="0068442A" w:rsidRDefault="001749A3" w:rsidP="00BF1E10">
      <w:pPr>
        <w:autoSpaceDE w:val="0"/>
        <w:autoSpaceDN w:val="0"/>
        <w:adjustRightInd w:val="0"/>
        <w:spacing w:after="0" w:line="360" w:lineRule="auto"/>
        <w:ind w:firstLine="720"/>
        <w:jc w:val="both"/>
        <w:rPr>
          <w:rFonts w:ascii="Times New Roman" w:hAnsi="Times New Roman" w:cs="Times New Roman"/>
          <w:color w:val="000000"/>
        </w:rPr>
      </w:pPr>
    </w:p>
    <w:p w14:paraId="5642056B" w14:textId="77777777" w:rsidR="00652467" w:rsidRPr="0068442A" w:rsidRDefault="00652467" w:rsidP="00BF1E10">
      <w:pPr>
        <w:autoSpaceDE w:val="0"/>
        <w:autoSpaceDN w:val="0"/>
        <w:adjustRightInd w:val="0"/>
        <w:spacing w:after="0" w:line="360" w:lineRule="auto"/>
        <w:jc w:val="both"/>
        <w:rPr>
          <w:rFonts w:ascii="Times New Roman" w:hAnsi="Times New Roman" w:cs="Times New Roman"/>
          <w:color w:val="000000"/>
        </w:rPr>
      </w:pPr>
    </w:p>
    <w:p w14:paraId="4F3930DC" w14:textId="77777777" w:rsidR="00651919" w:rsidRPr="0068442A" w:rsidRDefault="00FD3E75" w:rsidP="00BF1E10">
      <w:pPr>
        <w:spacing w:after="200" w:line="360" w:lineRule="auto"/>
        <w:jc w:val="both"/>
        <w:rPr>
          <w:rFonts w:ascii="Times New Roman" w:hAnsi="Times New Roman" w:cs="Times New Roman"/>
          <w:b/>
          <w:i/>
          <w:color w:val="000000"/>
        </w:rPr>
      </w:pPr>
      <w:r w:rsidRPr="0068442A">
        <w:rPr>
          <w:rFonts w:ascii="Times New Roman" w:hAnsi="Times New Roman" w:cs="Times New Roman"/>
          <w:b/>
          <w:i/>
          <w:color w:val="000000"/>
        </w:rPr>
        <w:lastRenderedPageBreak/>
        <w:t xml:space="preserve">Implications of the </w:t>
      </w:r>
      <w:r w:rsidR="00946E4B" w:rsidRPr="0068442A">
        <w:rPr>
          <w:rFonts w:ascii="Times New Roman" w:hAnsi="Times New Roman" w:cs="Times New Roman"/>
          <w:b/>
          <w:i/>
          <w:color w:val="000000"/>
        </w:rPr>
        <w:t>Bill for Gender Equality and G</w:t>
      </w:r>
      <w:r w:rsidRPr="0068442A">
        <w:rPr>
          <w:rFonts w:ascii="Times New Roman" w:hAnsi="Times New Roman" w:cs="Times New Roman"/>
          <w:b/>
          <w:i/>
          <w:color w:val="000000"/>
        </w:rPr>
        <w:t xml:space="preserve">irls’ </w:t>
      </w:r>
      <w:r w:rsidR="00946E4B" w:rsidRPr="0068442A">
        <w:rPr>
          <w:rFonts w:ascii="Times New Roman" w:hAnsi="Times New Roman" w:cs="Times New Roman"/>
          <w:b/>
          <w:i/>
          <w:color w:val="000000"/>
        </w:rPr>
        <w:t>Education: Practitioner P</w:t>
      </w:r>
      <w:r w:rsidRPr="0068442A">
        <w:rPr>
          <w:rFonts w:ascii="Times New Roman" w:hAnsi="Times New Roman" w:cs="Times New Roman"/>
          <w:b/>
          <w:i/>
          <w:color w:val="000000"/>
        </w:rPr>
        <w:t>erspectives</w:t>
      </w:r>
    </w:p>
    <w:p w14:paraId="06D4E8DE" w14:textId="67BD7FE6" w:rsidR="00651919" w:rsidRPr="0068442A" w:rsidRDefault="00774027" w:rsidP="00620CC4">
      <w:pPr>
        <w:spacing w:after="200" w:line="360" w:lineRule="auto"/>
        <w:jc w:val="both"/>
        <w:rPr>
          <w:rFonts w:ascii="Times New Roman" w:hAnsi="Times New Roman" w:cs="Times New Roman"/>
          <w:b/>
          <w:i/>
          <w:color w:val="000000"/>
        </w:rPr>
      </w:pPr>
      <w:r w:rsidRPr="0068442A">
        <w:rPr>
          <w:rFonts w:ascii="Times New Roman" w:hAnsi="Times New Roman" w:cs="Times New Roman"/>
        </w:rPr>
        <w:t>T</w:t>
      </w:r>
      <w:r w:rsidR="00A96E5F" w:rsidRPr="0068442A">
        <w:rPr>
          <w:rFonts w:ascii="Times New Roman" w:hAnsi="Times New Roman" w:cs="Times New Roman"/>
        </w:rPr>
        <w:t>eachers as practitioners are th</w:t>
      </w:r>
      <w:r w:rsidR="001A530E" w:rsidRPr="0068442A">
        <w:rPr>
          <w:rFonts w:ascii="Times New Roman" w:hAnsi="Times New Roman" w:cs="Times New Roman"/>
        </w:rPr>
        <w:t xml:space="preserve">ose </w:t>
      </w:r>
      <w:r w:rsidR="00A96E5F" w:rsidRPr="0068442A">
        <w:rPr>
          <w:rFonts w:ascii="Times New Roman" w:hAnsi="Times New Roman" w:cs="Times New Roman"/>
        </w:rPr>
        <w:t xml:space="preserve">who </w:t>
      </w:r>
      <w:r w:rsidR="00A10562" w:rsidRPr="0068442A">
        <w:rPr>
          <w:rFonts w:ascii="Times New Roman" w:hAnsi="Times New Roman" w:cs="Times New Roman"/>
        </w:rPr>
        <w:t xml:space="preserve">have </w:t>
      </w:r>
      <w:r w:rsidR="00A96E5F" w:rsidRPr="0068442A">
        <w:rPr>
          <w:rFonts w:ascii="Times New Roman" w:hAnsi="Times New Roman" w:cs="Times New Roman"/>
        </w:rPr>
        <w:t>experience</w:t>
      </w:r>
      <w:r w:rsidR="00A10562" w:rsidRPr="0068442A">
        <w:rPr>
          <w:rFonts w:ascii="Times New Roman" w:hAnsi="Times New Roman" w:cs="Times New Roman"/>
        </w:rPr>
        <w:t>d</w:t>
      </w:r>
      <w:r w:rsidR="00A96E5F" w:rsidRPr="0068442A">
        <w:rPr>
          <w:rFonts w:ascii="Times New Roman" w:hAnsi="Times New Roman" w:cs="Times New Roman"/>
        </w:rPr>
        <w:t xml:space="preserve"> and </w:t>
      </w:r>
      <w:r w:rsidR="00A22793">
        <w:rPr>
          <w:rFonts w:ascii="Times New Roman" w:hAnsi="Times New Roman" w:cs="Times New Roman"/>
        </w:rPr>
        <w:t xml:space="preserve">have </w:t>
      </w:r>
      <w:r w:rsidR="00A96E5F" w:rsidRPr="0068442A">
        <w:rPr>
          <w:rFonts w:ascii="Times New Roman" w:hAnsi="Times New Roman" w:cs="Times New Roman"/>
        </w:rPr>
        <w:t>observe</w:t>
      </w:r>
      <w:r w:rsidR="00A10562" w:rsidRPr="0068442A">
        <w:rPr>
          <w:rFonts w:ascii="Times New Roman" w:hAnsi="Times New Roman" w:cs="Times New Roman"/>
        </w:rPr>
        <w:t>d</w:t>
      </w:r>
      <w:r w:rsidR="00A96E5F" w:rsidRPr="0068442A">
        <w:rPr>
          <w:rFonts w:ascii="Times New Roman" w:hAnsi="Times New Roman" w:cs="Times New Roman"/>
        </w:rPr>
        <w:t xml:space="preserve"> the implication</w:t>
      </w:r>
      <w:r w:rsidR="00A10562" w:rsidRPr="0068442A">
        <w:rPr>
          <w:rFonts w:ascii="Times New Roman" w:hAnsi="Times New Roman" w:cs="Times New Roman"/>
        </w:rPr>
        <w:t>s</w:t>
      </w:r>
      <w:r w:rsidR="00A96E5F" w:rsidRPr="0068442A">
        <w:rPr>
          <w:rFonts w:ascii="Times New Roman" w:hAnsi="Times New Roman" w:cs="Times New Roman"/>
        </w:rPr>
        <w:t xml:space="preserve"> and outcomes of the ref</w:t>
      </w:r>
      <w:r w:rsidRPr="0068442A">
        <w:rPr>
          <w:rFonts w:ascii="Times New Roman" w:hAnsi="Times New Roman" w:cs="Times New Roman"/>
        </w:rPr>
        <w:t>orms and therefore, can identify the imminent effects of the bill. The data analysis indicates</w:t>
      </w:r>
      <w:r w:rsidR="00A96E5F" w:rsidRPr="0068442A">
        <w:rPr>
          <w:rFonts w:ascii="Times New Roman" w:hAnsi="Times New Roman" w:cs="Times New Roman"/>
        </w:rPr>
        <w:t xml:space="preserve"> the ways practising teachers experienced the </w:t>
      </w:r>
      <w:r w:rsidR="00AA058E" w:rsidRPr="0068442A">
        <w:rPr>
          <w:rFonts w:ascii="Times New Roman" w:hAnsi="Times New Roman" w:cs="Times New Roman"/>
        </w:rPr>
        <w:t xml:space="preserve">impacts </w:t>
      </w:r>
      <w:r w:rsidR="00A96E5F" w:rsidRPr="0068442A">
        <w:rPr>
          <w:rFonts w:ascii="Times New Roman" w:hAnsi="Times New Roman" w:cs="Times New Roman"/>
        </w:rPr>
        <w:t>of the 4+ reforms on girls’ capabilities in four categories</w:t>
      </w:r>
      <w:r w:rsidR="00AA058E" w:rsidRPr="0068442A">
        <w:rPr>
          <w:rFonts w:ascii="Times New Roman" w:hAnsi="Times New Roman" w:cs="Times New Roman"/>
        </w:rPr>
        <w:t>:</w:t>
      </w:r>
      <w:r w:rsidR="00A96E5F" w:rsidRPr="0068442A">
        <w:rPr>
          <w:rFonts w:ascii="Times New Roman" w:hAnsi="Times New Roman" w:cs="Times New Roman"/>
        </w:rPr>
        <w:t xml:space="preserve"> 1) providing </w:t>
      </w:r>
      <w:r w:rsidR="00BE29CF" w:rsidRPr="0068442A">
        <w:rPr>
          <w:rFonts w:ascii="Times New Roman" w:hAnsi="Times New Roman" w:cs="Times New Roman"/>
        </w:rPr>
        <w:t>safe schools and efficient learning environments</w:t>
      </w:r>
      <w:r w:rsidR="00AA058E" w:rsidRPr="0068442A">
        <w:rPr>
          <w:rFonts w:ascii="Times New Roman" w:hAnsi="Times New Roman" w:cs="Times New Roman"/>
        </w:rPr>
        <w:t>,</w:t>
      </w:r>
      <w:r w:rsidR="00A96E5F" w:rsidRPr="0068442A">
        <w:rPr>
          <w:rFonts w:ascii="Times New Roman" w:hAnsi="Times New Roman" w:cs="Times New Roman"/>
        </w:rPr>
        <w:t xml:space="preserve"> 2) increasing </w:t>
      </w:r>
      <w:r w:rsidR="004E7E04" w:rsidRPr="0068442A">
        <w:rPr>
          <w:rFonts w:ascii="Times New Roman" w:hAnsi="Times New Roman" w:cs="Times New Roman"/>
        </w:rPr>
        <w:t xml:space="preserve">the </w:t>
      </w:r>
      <w:r w:rsidR="00A96E5F" w:rsidRPr="0068442A">
        <w:rPr>
          <w:rFonts w:ascii="Times New Roman" w:hAnsi="Times New Roman" w:cs="Times New Roman"/>
        </w:rPr>
        <w:t>enrolment rates of girls</w:t>
      </w:r>
      <w:r w:rsidR="00AA058E" w:rsidRPr="0068442A">
        <w:rPr>
          <w:rFonts w:ascii="Times New Roman" w:hAnsi="Times New Roman" w:cs="Times New Roman"/>
        </w:rPr>
        <w:t>,</w:t>
      </w:r>
      <w:r w:rsidRPr="0068442A">
        <w:rPr>
          <w:rFonts w:ascii="Times New Roman" w:hAnsi="Times New Roman" w:cs="Times New Roman"/>
        </w:rPr>
        <w:t xml:space="preserve"> 3) constraining</w:t>
      </w:r>
      <w:r w:rsidR="00A96E5F" w:rsidRPr="0068442A">
        <w:rPr>
          <w:rFonts w:ascii="Times New Roman" w:hAnsi="Times New Roman" w:cs="Times New Roman"/>
        </w:rPr>
        <w:t xml:space="preserve"> girls’ social capabilities</w:t>
      </w:r>
      <w:r w:rsidR="00AA058E" w:rsidRPr="0068442A">
        <w:rPr>
          <w:rFonts w:ascii="Times New Roman" w:hAnsi="Times New Roman" w:cs="Times New Roman"/>
        </w:rPr>
        <w:t>, and</w:t>
      </w:r>
      <w:r w:rsidR="00A96E5F" w:rsidRPr="0068442A">
        <w:rPr>
          <w:rFonts w:ascii="Times New Roman" w:hAnsi="Times New Roman" w:cs="Times New Roman"/>
        </w:rPr>
        <w:t xml:space="preserve"> 4) </w:t>
      </w:r>
      <w:r w:rsidR="00405360" w:rsidRPr="0068442A">
        <w:rPr>
          <w:rFonts w:ascii="Times New Roman" w:hAnsi="Times New Roman" w:cs="Times New Roman"/>
        </w:rPr>
        <w:t xml:space="preserve">restricting </w:t>
      </w:r>
      <w:r w:rsidR="00A96E5F" w:rsidRPr="0068442A">
        <w:rPr>
          <w:rFonts w:ascii="Times New Roman" w:hAnsi="Times New Roman" w:cs="Times New Roman"/>
        </w:rPr>
        <w:t>girls’ intellectual capabilities.</w:t>
      </w:r>
    </w:p>
    <w:p w14:paraId="1AFFB799" w14:textId="35312BE4" w:rsidR="00BF6D74" w:rsidRPr="0068442A" w:rsidRDefault="00946E4B" w:rsidP="00BF1E10">
      <w:pPr>
        <w:spacing w:line="360" w:lineRule="auto"/>
        <w:jc w:val="both"/>
        <w:rPr>
          <w:rFonts w:ascii="Times New Roman" w:hAnsi="Times New Roman" w:cs="Times New Roman"/>
          <w:i/>
        </w:rPr>
      </w:pPr>
      <w:r w:rsidRPr="0068442A">
        <w:rPr>
          <w:rFonts w:ascii="Times New Roman" w:hAnsi="Times New Roman" w:cs="Times New Roman"/>
          <w:i/>
        </w:rPr>
        <w:t>Providing Safe Schools and Efficient Learning E</w:t>
      </w:r>
      <w:r w:rsidR="00BE29CF" w:rsidRPr="0068442A">
        <w:rPr>
          <w:rFonts w:ascii="Times New Roman" w:hAnsi="Times New Roman" w:cs="Times New Roman"/>
          <w:i/>
        </w:rPr>
        <w:t>nvironments</w:t>
      </w:r>
    </w:p>
    <w:p w14:paraId="54D2373B" w14:textId="02831925" w:rsidR="00587683" w:rsidRPr="0068442A" w:rsidRDefault="00587683" w:rsidP="00BF1E10">
      <w:pPr>
        <w:spacing w:line="360" w:lineRule="auto"/>
        <w:jc w:val="both"/>
        <w:rPr>
          <w:rFonts w:ascii="Times New Roman" w:hAnsi="Times New Roman" w:cs="Times New Roman"/>
        </w:rPr>
      </w:pPr>
      <w:r w:rsidRPr="0068442A">
        <w:rPr>
          <w:rFonts w:ascii="Times New Roman" w:hAnsi="Times New Roman" w:cs="Times New Roman"/>
        </w:rPr>
        <w:t xml:space="preserve">One of the most prominent challenges girls face at schools is </w:t>
      </w:r>
      <w:r w:rsidR="00F52DFF" w:rsidRPr="0068442A">
        <w:rPr>
          <w:rFonts w:ascii="Times New Roman" w:hAnsi="Times New Roman" w:cs="Times New Roman"/>
        </w:rPr>
        <w:t xml:space="preserve">an </w:t>
      </w:r>
      <w:r w:rsidRPr="0068442A">
        <w:rPr>
          <w:rFonts w:ascii="Times New Roman" w:hAnsi="Times New Roman" w:cs="Times New Roman"/>
        </w:rPr>
        <w:t>unsafe school environment</w:t>
      </w:r>
      <w:r w:rsidR="00F52DFF" w:rsidRPr="0068442A">
        <w:rPr>
          <w:rFonts w:ascii="Times New Roman" w:hAnsi="Times New Roman" w:cs="Times New Roman"/>
        </w:rPr>
        <w:t xml:space="preserve">, with </w:t>
      </w:r>
      <w:r w:rsidRPr="0068442A">
        <w:rPr>
          <w:rFonts w:ascii="Times New Roman" w:hAnsi="Times New Roman" w:cs="Times New Roman"/>
        </w:rPr>
        <w:t xml:space="preserve">verbal </w:t>
      </w:r>
      <w:r w:rsidR="00F52DFF" w:rsidRPr="0068442A">
        <w:rPr>
          <w:rFonts w:ascii="Times New Roman" w:hAnsi="Times New Roman" w:cs="Times New Roman"/>
        </w:rPr>
        <w:t>and</w:t>
      </w:r>
      <w:r w:rsidRPr="0068442A">
        <w:rPr>
          <w:rFonts w:ascii="Times New Roman" w:hAnsi="Times New Roman" w:cs="Times New Roman"/>
        </w:rPr>
        <w:t xml:space="preserve"> sexual harassment </w:t>
      </w:r>
      <w:r w:rsidR="00F52DFF" w:rsidRPr="0068442A">
        <w:rPr>
          <w:rFonts w:ascii="Times New Roman" w:hAnsi="Times New Roman" w:cs="Times New Roman"/>
        </w:rPr>
        <w:t>occurring</w:t>
      </w:r>
      <w:r w:rsidRPr="0068442A">
        <w:rPr>
          <w:rFonts w:ascii="Times New Roman" w:hAnsi="Times New Roman" w:cs="Times New Roman"/>
        </w:rPr>
        <w:t xml:space="preserve"> </w:t>
      </w:r>
      <w:r w:rsidR="009E5453" w:rsidRPr="0068442A">
        <w:rPr>
          <w:rFonts w:ascii="Times New Roman" w:hAnsi="Times New Roman" w:cs="Times New Roman"/>
        </w:rPr>
        <w:t xml:space="preserve">both </w:t>
      </w:r>
      <w:r w:rsidRPr="0068442A">
        <w:rPr>
          <w:rFonts w:ascii="Times New Roman" w:hAnsi="Times New Roman" w:cs="Times New Roman"/>
        </w:rPr>
        <w:t>within and around</w:t>
      </w:r>
      <w:r w:rsidR="009D1D18" w:rsidRPr="0068442A">
        <w:rPr>
          <w:rFonts w:ascii="Times New Roman" w:hAnsi="Times New Roman" w:cs="Times New Roman"/>
        </w:rPr>
        <w:t xml:space="preserve"> schools (</w:t>
      </w:r>
      <w:r w:rsidR="00155852" w:rsidRPr="0068442A">
        <w:rPr>
          <w:rFonts w:ascii="Times New Roman" w:hAnsi="Times New Roman" w:cs="Times New Roman"/>
          <w:color w:val="333333"/>
        </w:rPr>
        <w:t xml:space="preserve">Cin, 2017). </w:t>
      </w:r>
      <w:r w:rsidRPr="0068442A">
        <w:rPr>
          <w:rFonts w:ascii="Times New Roman" w:hAnsi="Times New Roman" w:cs="Times New Roman"/>
        </w:rPr>
        <w:t xml:space="preserve">Teachers argue that </w:t>
      </w:r>
      <w:r w:rsidR="00713A75" w:rsidRPr="0068442A">
        <w:rPr>
          <w:rFonts w:ascii="Times New Roman" w:hAnsi="Times New Roman" w:cs="Times New Roman"/>
        </w:rPr>
        <w:t xml:space="preserve">the </w:t>
      </w:r>
      <w:r w:rsidRPr="0068442A">
        <w:rPr>
          <w:rFonts w:ascii="Times New Roman" w:hAnsi="Times New Roman" w:cs="Times New Roman"/>
        </w:rPr>
        <w:t>single</w:t>
      </w:r>
      <w:r w:rsidR="00713A75" w:rsidRPr="0068442A">
        <w:rPr>
          <w:rFonts w:ascii="Times New Roman" w:hAnsi="Times New Roman" w:cs="Times New Roman"/>
        </w:rPr>
        <w:t>-</w:t>
      </w:r>
      <w:r w:rsidRPr="0068442A">
        <w:rPr>
          <w:rFonts w:ascii="Times New Roman" w:hAnsi="Times New Roman" w:cs="Times New Roman"/>
        </w:rPr>
        <w:t xml:space="preserve">sex education offered at religious schools </w:t>
      </w:r>
      <w:r w:rsidR="001A4D56" w:rsidRPr="0068442A">
        <w:rPr>
          <w:rFonts w:ascii="Times New Roman" w:hAnsi="Times New Roman" w:cs="Times New Roman"/>
        </w:rPr>
        <w:t xml:space="preserve">provides </w:t>
      </w:r>
      <w:r w:rsidRPr="0068442A">
        <w:rPr>
          <w:rFonts w:ascii="Times New Roman" w:hAnsi="Times New Roman" w:cs="Times New Roman"/>
        </w:rPr>
        <w:t>girls</w:t>
      </w:r>
      <w:r w:rsidR="00B675AE" w:rsidRPr="0068442A">
        <w:rPr>
          <w:rFonts w:ascii="Times New Roman" w:hAnsi="Times New Roman" w:cs="Times New Roman"/>
        </w:rPr>
        <w:t xml:space="preserve"> with</w:t>
      </w:r>
      <w:r w:rsidRPr="0068442A">
        <w:rPr>
          <w:rFonts w:ascii="Times New Roman" w:hAnsi="Times New Roman" w:cs="Times New Roman"/>
        </w:rPr>
        <w:t xml:space="preserve"> a safe, bullying and sexual harassment</w:t>
      </w:r>
      <w:r w:rsidR="00713A75" w:rsidRPr="0068442A">
        <w:rPr>
          <w:rFonts w:ascii="Times New Roman" w:hAnsi="Times New Roman" w:cs="Times New Roman"/>
        </w:rPr>
        <w:t>-</w:t>
      </w:r>
      <w:r w:rsidRPr="0068442A">
        <w:rPr>
          <w:rFonts w:ascii="Times New Roman" w:hAnsi="Times New Roman" w:cs="Times New Roman"/>
        </w:rPr>
        <w:t>free environment to study</w:t>
      </w:r>
      <w:r w:rsidR="00A22793">
        <w:rPr>
          <w:rFonts w:ascii="Times New Roman" w:hAnsi="Times New Roman" w:cs="Times New Roman"/>
        </w:rPr>
        <w:t>,</w:t>
      </w:r>
      <w:r w:rsidRPr="0068442A">
        <w:rPr>
          <w:rFonts w:ascii="Times New Roman" w:hAnsi="Times New Roman" w:cs="Times New Roman"/>
        </w:rPr>
        <w:t xml:space="preserve"> and ensur</w:t>
      </w:r>
      <w:r w:rsidR="00713A75" w:rsidRPr="0068442A">
        <w:rPr>
          <w:rFonts w:ascii="Times New Roman" w:hAnsi="Times New Roman" w:cs="Times New Roman"/>
        </w:rPr>
        <w:t>e</w:t>
      </w:r>
      <w:r w:rsidR="00930664" w:rsidRPr="0068442A">
        <w:rPr>
          <w:rFonts w:ascii="Times New Roman" w:hAnsi="Times New Roman" w:cs="Times New Roman"/>
        </w:rPr>
        <w:t>s</w:t>
      </w:r>
      <w:r w:rsidRPr="0068442A">
        <w:rPr>
          <w:rFonts w:ascii="Times New Roman" w:hAnsi="Times New Roman" w:cs="Times New Roman"/>
        </w:rPr>
        <w:t xml:space="preserve"> that they </w:t>
      </w:r>
      <w:r w:rsidR="00930664" w:rsidRPr="0068442A">
        <w:rPr>
          <w:rFonts w:ascii="Times New Roman" w:hAnsi="Times New Roman" w:cs="Times New Roman"/>
        </w:rPr>
        <w:t xml:space="preserve">can </w:t>
      </w:r>
      <w:r w:rsidRPr="0068442A">
        <w:rPr>
          <w:rFonts w:ascii="Times New Roman" w:hAnsi="Times New Roman" w:cs="Times New Roman"/>
        </w:rPr>
        <w:t xml:space="preserve">enjoy their physical well-being: </w:t>
      </w:r>
    </w:p>
    <w:p w14:paraId="326ACDCE" w14:textId="55F7A5C1" w:rsidR="00BE29CF" w:rsidRPr="0068442A" w:rsidRDefault="00BE29CF" w:rsidP="00BF1E10">
      <w:pPr>
        <w:spacing w:line="360" w:lineRule="auto"/>
        <w:ind w:left="720"/>
        <w:jc w:val="both"/>
        <w:rPr>
          <w:rFonts w:ascii="Times New Roman" w:hAnsi="Times New Roman" w:cs="Times New Roman"/>
        </w:rPr>
      </w:pPr>
      <w:r w:rsidRPr="0068442A">
        <w:rPr>
          <w:rFonts w:ascii="Times New Roman" w:hAnsi="Times New Roman" w:cs="Times New Roman"/>
        </w:rPr>
        <w:t>I think separating girls</w:t>
      </w:r>
      <w:r w:rsidR="00930664" w:rsidRPr="0068442A">
        <w:rPr>
          <w:rFonts w:ascii="Times New Roman" w:hAnsi="Times New Roman" w:cs="Times New Roman"/>
        </w:rPr>
        <w:t>’</w:t>
      </w:r>
      <w:r w:rsidRPr="0068442A">
        <w:rPr>
          <w:rFonts w:ascii="Times New Roman" w:hAnsi="Times New Roman" w:cs="Times New Roman"/>
        </w:rPr>
        <w:t xml:space="preserve"> and boys</w:t>
      </w:r>
      <w:r w:rsidR="00930664" w:rsidRPr="0068442A">
        <w:rPr>
          <w:rFonts w:ascii="Times New Roman" w:hAnsi="Times New Roman" w:cs="Times New Roman"/>
        </w:rPr>
        <w:t>’</w:t>
      </w:r>
      <w:r w:rsidRPr="0068442A">
        <w:rPr>
          <w:rFonts w:ascii="Times New Roman" w:hAnsi="Times New Roman" w:cs="Times New Roman"/>
        </w:rPr>
        <w:t xml:space="preserve"> classes was a good initiative</w:t>
      </w:r>
      <w:r w:rsidR="00930664" w:rsidRPr="0068442A">
        <w:rPr>
          <w:rFonts w:ascii="Times New Roman" w:hAnsi="Times New Roman" w:cs="Times New Roman"/>
        </w:rPr>
        <w:t xml:space="preserve">; </w:t>
      </w:r>
      <w:r w:rsidRPr="0068442A">
        <w:rPr>
          <w:rFonts w:ascii="Times New Roman" w:hAnsi="Times New Roman" w:cs="Times New Roman"/>
        </w:rPr>
        <w:t>girls can act freely, they feel safe</w:t>
      </w:r>
      <w:r w:rsidR="002E65C1" w:rsidRPr="0068442A">
        <w:rPr>
          <w:rFonts w:ascii="Times New Roman" w:hAnsi="Times New Roman" w:cs="Times New Roman"/>
        </w:rPr>
        <w:t>r</w:t>
      </w:r>
      <w:r w:rsidRPr="0068442A">
        <w:rPr>
          <w:rFonts w:ascii="Times New Roman" w:hAnsi="Times New Roman" w:cs="Times New Roman"/>
        </w:rPr>
        <w:t>, there are no sexual harassment cases</w:t>
      </w:r>
      <w:r w:rsidR="00A22793">
        <w:rPr>
          <w:rFonts w:ascii="Times New Roman" w:hAnsi="Times New Roman" w:cs="Times New Roman"/>
        </w:rPr>
        <w:t xml:space="preserve"> [</w:t>
      </w:r>
      <w:r w:rsidRPr="0068442A">
        <w:rPr>
          <w:rFonts w:ascii="Times New Roman" w:hAnsi="Times New Roman" w:cs="Times New Roman"/>
        </w:rPr>
        <w:t>…</w:t>
      </w:r>
      <w:r w:rsidR="00A22793">
        <w:rPr>
          <w:rFonts w:ascii="Times New Roman" w:hAnsi="Times New Roman" w:cs="Times New Roman"/>
        </w:rPr>
        <w:t>]</w:t>
      </w:r>
      <w:r w:rsidRPr="0068442A">
        <w:rPr>
          <w:rFonts w:ascii="Times New Roman" w:hAnsi="Times New Roman" w:cs="Times New Roman"/>
        </w:rPr>
        <w:t xml:space="preserve"> In </w:t>
      </w:r>
      <w:r w:rsidR="00A22793">
        <w:rPr>
          <w:rFonts w:ascii="Times New Roman" w:hAnsi="Times New Roman" w:cs="Times New Roman"/>
        </w:rPr>
        <w:t>E</w:t>
      </w:r>
      <w:r w:rsidR="00A22793" w:rsidRPr="0068442A">
        <w:rPr>
          <w:rFonts w:ascii="Times New Roman" w:hAnsi="Times New Roman" w:cs="Times New Roman"/>
        </w:rPr>
        <w:t xml:space="preserve">astern </w:t>
      </w:r>
      <w:r w:rsidRPr="0068442A">
        <w:rPr>
          <w:rFonts w:ascii="Times New Roman" w:hAnsi="Times New Roman" w:cs="Times New Roman"/>
        </w:rPr>
        <w:t xml:space="preserve">Anatolia, </w:t>
      </w:r>
      <w:r w:rsidR="0041738A" w:rsidRPr="0068442A">
        <w:rPr>
          <w:rFonts w:ascii="Times New Roman" w:hAnsi="Times New Roman" w:cs="Times New Roman"/>
        </w:rPr>
        <w:t xml:space="preserve">this </w:t>
      </w:r>
      <w:r w:rsidRPr="0068442A">
        <w:rPr>
          <w:rFonts w:ascii="Times New Roman" w:hAnsi="Times New Roman" w:cs="Times New Roman"/>
        </w:rPr>
        <w:t xml:space="preserve">kind of harassment </w:t>
      </w:r>
      <w:r w:rsidR="0041738A" w:rsidRPr="0068442A">
        <w:rPr>
          <w:rFonts w:ascii="Times New Roman" w:hAnsi="Times New Roman" w:cs="Times New Roman"/>
        </w:rPr>
        <w:t xml:space="preserve">is </w:t>
      </w:r>
      <w:r w:rsidRPr="0068442A">
        <w:rPr>
          <w:rFonts w:ascii="Times New Roman" w:hAnsi="Times New Roman" w:cs="Times New Roman"/>
        </w:rPr>
        <w:t>a big deal for families and I think girls are more secure now. It was difficult to prevent such cases in co-education (Mustafa, Vice-principal)</w:t>
      </w:r>
      <w:r w:rsidR="003B2B72" w:rsidRPr="0068442A">
        <w:rPr>
          <w:rFonts w:ascii="Times New Roman" w:hAnsi="Times New Roman" w:cs="Times New Roman"/>
        </w:rPr>
        <w:t>.</w:t>
      </w:r>
    </w:p>
    <w:p w14:paraId="6CAA1EF9" w14:textId="3F6D2ED7" w:rsidR="00BE29CF" w:rsidRPr="0068442A" w:rsidRDefault="00620CC4" w:rsidP="00BF1E10">
      <w:pPr>
        <w:spacing w:line="360" w:lineRule="auto"/>
        <w:ind w:firstLine="720"/>
        <w:jc w:val="both"/>
        <w:rPr>
          <w:rFonts w:ascii="Times New Roman" w:hAnsi="Times New Roman" w:cs="Times New Roman"/>
        </w:rPr>
      </w:pPr>
      <w:r w:rsidRPr="0068442A">
        <w:rPr>
          <w:rFonts w:ascii="Times New Roman" w:hAnsi="Times New Roman" w:cs="Times New Roman"/>
        </w:rPr>
        <w:t>Likewise, a</w:t>
      </w:r>
      <w:r w:rsidR="00BE29CF" w:rsidRPr="0068442A">
        <w:rPr>
          <w:rFonts w:ascii="Times New Roman" w:hAnsi="Times New Roman" w:cs="Times New Roman"/>
        </w:rPr>
        <w:t>nother teacher argued that single-sex education made it easier for girls to flourish</w:t>
      </w:r>
      <w:r w:rsidR="002E65C1" w:rsidRPr="0068442A">
        <w:rPr>
          <w:rFonts w:ascii="Times New Roman" w:hAnsi="Times New Roman" w:cs="Times New Roman"/>
        </w:rPr>
        <w:t xml:space="preserve"> academically without feeling </w:t>
      </w:r>
      <w:r w:rsidR="00713A75" w:rsidRPr="0068442A">
        <w:rPr>
          <w:rFonts w:ascii="Times New Roman" w:hAnsi="Times New Roman" w:cs="Times New Roman"/>
        </w:rPr>
        <w:t xml:space="preserve">shame </w:t>
      </w:r>
      <w:r w:rsidR="00BE29CF" w:rsidRPr="0068442A">
        <w:rPr>
          <w:rFonts w:ascii="Times New Roman" w:hAnsi="Times New Roman" w:cs="Times New Roman"/>
        </w:rPr>
        <w:t xml:space="preserve">and resentment: </w:t>
      </w:r>
    </w:p>
    <w:p w14:paraId="21BB0C49" w14:textId="3333A40C" w:rsidR="00BE29CF" w:rsidRPr="0068442A" w:rsidRDefault="00BE29CF" w:rsidP="00BF1E10">
      <w:pPr>
        <w:spacing w:line="360" w:lineRule="auto"/>
        <w:ind w:left="720"/>
        <w:jc w:val="both"/>
        <w:rPr>
          <w:rFonts w:ascii="Times New Roman" w:hAnsi="Times New Roman" w:cs="Times New Roman"/>
        </w:rPr>
      </w:pPr>
      <w:r w:rsidRPr="0068442A">
        <w:rPr>
          <w:rFonts w:ascii="Times New Roman" w:hAnsi="Times New Roman" w:cs="Times New Roman"/>
        </w:rPr>
        <w:t xml:space="preserve">With 4+, girls now </w:t>
      </w:r>
      <w:r w:rsidR="00A22793">
        <w:rPr>
          <w:rFonts w:ascii="Times New Roman" w:hAnsi="Times New Roman" w:cs="Times New Roman"/>
        </w:rPr>
        <w:t>receive</w:t>
      </w:r>
      <w:r w:rsidR="00A22793" w:rsidRPr="0068442A">
        <w:rPr>
          <w:rFonts w:ascii="Times New Roman" w:hAnsi="Times New Roman" w:cs="Times New Roman"/>
        </w:rPr>
        <w:t xml:space="preserve"> </w:t>
      </w:r>
      <w:r w:rsidRPr="0068442A">
        <w:rPr>
          <w:rFonts w:ascii="Times New Roman" w:hAnsi="Times New Roman" w:cs="Times New Roman"/>
        </w:rPr>
        <w:t xml:space="preserve">more positive discrimination. </w:t>
      </w:r>
      <w:r w:rsidR="00A22793">
        <w:rPr>
          <w:rFonts w:ascii="Times New Roman" w:hAnsi="Times New Roman" w:cs="Times New Roman"/>
        </w:rPr>
        <w:t>All-g</w:t>
      </w:r>
      <w:r w:rsidR="00A22793" w:rsidRPr="0068442A">
        <w:rPr>
          <w:rFonts w:ascii="Times New Roman" w:hAnsi="Times New Roman" w:cs="Times New Roman"/>
        </w:rPr>
        <w:t xml:space="preserve">irl </w:t>
      </w:r>
      <w:r w:rsidRPr="0068442A">
        <w:rPr>
          <w:rFonts w:ascii="Times New Roman" w:hAnsi="Times New Roman" w:cs="Times New Roman"/>
        </w:rPr>
        <w:t>classes achieve better academically</w:t>
      </w:r>
      <w:r w:rsidR="00AF48C1" w:rsidRPr="0068442A">
        <w:rPr>
          <w:rFonts w:ascii="Times New Roman" w:hAnsi="Times New Roman" w:cs="Times New Roman"/>
        </w:rPr>
        <w:t>,</w:t>
      </w:r>
      <w:r w:rsidRPr="0068442A">
        <w:rPr>
          <w:rFonts w:ascii="Times New Roman" w:hAnsi="Times New Roman" w:cs="Times New Roman"/>
        </w:rPr>
        <w:t xml:space="preserve"> but in co-education, boys dominate and girls stay </w:t>
      </w:r>
      <w:r w:rsidR="00227A12">
        <w:rPr>
          <w:rFonts w:ascii="Times New Roman" w:hAnsi="Times New Roman" w:cs="Times New Roman"/>
        </w:rPr>
        <w:t xml:space="preserve">on the </w:t>
      </w:r>
      <w:r w:rsidR="006365FE">
        <w:rPr>
          <w:rFonts w:ascii="Times New Roman" w:hAnsi="Times New Roman" w:cs="Times New Roman"/>
        </w:rPr>
        <w:t>side lines</w:t>
      </w:r>
      <w:r w:rsidR="00227A12" w:rsidRPr="0068442A">
        <w:rPr>
          <w:rFonts w:ascii="Times New Roman" w:hAnsi="Times New Roman" w:cs="Times New Roman"/>
        </w:rPr>
        <w:t xml:space="preserve"> </w:t>
      </w:r>
      <w:r w:rsidR="00A22793">
        <w:rPr>
          <w:rFonts w:ascii="Times New Roman" w:hAnsi="Times New Roman" w:cs="Times New Roman"/>
        </w:rPr>
        <w:t>[…]</w:t>
      </w:r>
      <w:r w:rsidR="00A22793" w:rsidRPr="0068442A">
        <w:rPr>
          <w:rFonts w:ascii="Times New Roman" w:hAnsi="Times New Roman" w:cs="Times New Roman"/>
        </w:rPr>
        <w:t xml:space="preserve"> </w:t>
      </w:r>
      <w:r w:rsidR="00FE02E6" w:rsidRPr="0068442A">
        <w:rPr>
          <w:rFonts w:ascii="Times New Roman" w:hAnsi="Times New Roman" w:cs="Times New Roman"/>
        </w:rPr>
        <w:t>When it is only girls, they show themselves out there</w:t>
      </w:r>
      <w:r w:rsidRPr="0068442A">
        <w:rPr>
          <w:rFonts w:ascii="Times New Roman" w:hAnsi="Times New Roman" w:cs="Times New Roman"/>
        </w:rPr>
        <w:t xml:space="preserve"> (Canan, teacher)</w:t>
      </w:r>
      <w:r w:rsidR="003B2B72" w:rsidRPr="0068442A">
        <w:rPr>
          <w:rFonts w:ascii="Times New Roman" w:hAnsi="Times New Roman" w:cs="Times New Roman"/>
        </w:rPr>
        <w:t>.</w:t>
      </w:r>
    </w:p>
    <w:p w14:paraId="7B2D3DA8" w14:textId="3B9F9CB3" w:rsidR="00BE29CF" w:rsidRPr="0068442A" w:rsidRDefault="00BE29CF" w:rsidP="00BF1E10">
      <w:pPr>
        <w:spacing w:line="360" w:lineRule="auto"/>
        <w:ind w:firstLine="720"/>
        <w:jc w:val="both"/>
        <w:rPr>
          <w:rFonts w:ascii="Times New Roman" w:hAnsi="Times New Roman" w:cs="Times New Roman"/>
        </w:rPr>
      </w:pPr>
      <w:r w:rsidRPr="0068442A">
        <w:rPr>
          <w:rFonts w:ascii="Times New Roman" w:hAnsi="Times New Roman" w:cs="Times New Roman"/>
        </w:rPr>
        <w:t xml:space="preserve">In general, teachers expressed that </w:t>
      </w:r>
      <w:r w:rsidR="00713A75" w:rsidRPr="0068442A">
        <w:rPr>
          <w:rFonts w:ascii="Times New Roman" w:hAnsi="Times New Roman" w:cs="Times New Roman"/>
        </w:rPr>
        <w:t xml:space="preserve">the </w:t>
      </w:r>
      <w:r w:rsidRPr="0068442A">
        <w:rPr>
          <w:rFonts w:ascii="Times New Roman" w:hAnsi="Times New Roman" w:cs="Times New Roman"/>
        </w:rPr>
        <w:t>single-sex education provided at religious schools was one way of ensuring that girls who are smart but remain silent</w:t>
      </w:r>
      <w:r w:rsidR="00267143" w:rsidRPr="0068442A">
        <w:rPr>
          <w:rFonts w:ascii="Times New Roman" w:hAnsi="Times New Roman" w:cs="Times New Roman"/>
        </w:rPr>
        <w:t xml:space="preserve"> </w:t>
      </w:r>
      <w:r w:rsidR="00713A75" w:rsidRPr="0068442A">
        <w:rPr>
          <w:rFonts w:ascii="Times New Roman" w:hAnsi="Times New Roman" w:cs="Times New Roman"/>
        </w:rPr>
        <w:t xml:space="preserve">can flourish. Girls’ silence is often </w:t>
      </w:r>
      <w:r w:rsidRPr="0068442A">
        <w:rPr>
          <w:rFonts w:ascii="Times New Roman" w:hAnsi="Times New Roman" w:cs="Times New Roman"/>
        </w:rPr>
        <w:t xml:space="preserve">due to </w:t>
      </w:r>
      <w:r w:rsidR="00713A75" w:rsidRPr="0068442A">
        <w:rPr>
          <w:rFonts w:ascii="Times New Roman" w:hAnsi="Times New Roman" w:cs="Times New Roman"/>
        </w:rPr>
        <w:t>feelings of resentment,</w:t>
      </w:r>
      <w:r w:rsidRPr="0068442A">
        <w:rPr>
          <w:rFonts w:ascii="Times New Roman" w:hAnsi="Times New Roman" w:cs="Times New Roman"/>
        </w:rPr>
        <w:t xml:space="preserve"> </w:t>
      </w:r>
      <w:r w:rsidR="00FE02E6" w:rsidRPr="0068442A">
        <w:rPr>
          <w:rFonts w:ascii="Times New Roman" w:hAnsi="Times New Roman" w:cs="Times New Roman"/>
        </w:rPr>
        <w:t xml:space="preserve">which </w:t>
      </w:r>
      <w:r w:rsidRPr="0068442A">
        <w:rPr>
          <w:rFonts w:ascii="Times New Roman" w:hAnsi="Times New Roman" w:cs="Times New Roman"/>
        </w:rPr>
        <w:t>coul</w:t>
      </w:r>
      <w:r w:rsidR="00FE02E6" w:rsidRPr="0068442A">
        <w:rPr>
          <w:rFonts w:ascii="Times New Roman" w:hAnsi="Times New Roman" w:cs="Times New Roman"/>
        </w:rPr>
        <w:t xml:space="preserve">d be associated with the patriarchal culture that requires women and girls to develop submissive identities and remain almost invisible in the </w:t>
      </w:r>
      <w:r w:rsidR="00713A75" w:rsidRPr="0068442A">
        <w:rPr>
          <w:rFonts w:ascii="Times New Roman" w:hAnsi="Times New Roman" w:cs="Times New Roman"/>
        </w:rPr>
        <w:t xml:space="preserve">presence </w:t>
      </w:r>
      <w:r w:rsidR="00FE02E6" w:rsidRPr="0068442A">
        <w:rPr>
          <w:rFonts w:ascii="Times New Roman" w:hAnsi="Times New Roman" w:cs="Times New Roman"/>
        </w:rPr>
        <w:t xml:space="preserve">of males. In </w:t>
      </w:r>
      <w:r w:rsidR="00620CC4" w:rsidRPr="0068442A">
        <w:rPr>
          <w:rFonts w:ascii="Times New Roman" w:hAnsi="Times New Roman" w:cs="Times New Roman"/>
        </w:rPr>
        <w:t>such an environment</w:t>
      </w:r>
      <w:r w:rsidR="00FE02E6" w:rsidRPr="0068442A">
        <w:rPr>
          <w:rFonts w:ascii="Times New Roman" w:hAnsi="Times New Roman" w:cs="Times New Roman"/>
        </w:rPr>
        <w:t>, single-sex education can be argued to support and enable girls’ intellectual capability of recognising and showing their potential</w:t>
      </w:r>
      <w:r w:rsidR="00DE2B27" w:rsidRPr="0068442A">
        <w:rPr>
          <w:rFonts w:ascii="Times New Roman" w:hAnsi="Times New Roman" w:cs="Times New Roman"/>
        </w:rPr>
        <w:t>, as well as</w:t>
      </w:r>
      <w:r w:rsidR="00FE02E6" w:rsidRPr="0068442A">
        <w:rPr>
          <w:rFonts w:ascii="Times New Roman" w:hAnsi="Times New Roman" w:cs="Times New Roman"/>
        </w:rPr>
        <w:t xml:space="preserve"> to secure their ph</w:t>
      </w:r>
      <w:r w:rsidR="00620CC4" w:rsidRPr="0068442A">
        <w:rPr>
          <w:rFonts w:ascii="Times New Roman" w:hAnsi="Times New Roman" w:cs="Times New Roman"/>
        </w:rPr>
        <w:t xml:space="preserve">ysical well-being </w:t>
      </w:r>
      <w:r w:rsidR="00426445" w:rsidRPr="0068442A">
        <w:rPr>
          <w:rFonts w:ascii="Times New Roman" w:hAnsi="Times New Roman" w:cs="Times New Roman"/>
        </w:rPr>
        <w:t xml:space="preserve">and </w:t>
      </w:r>
      <w:r w:rsidR="00EF51B9" w:rsidRPr="0068442A">
        <w:rPr>
          <w:rFonts w:ascii="Times New Roman" w:hAnsi="Times New Roman" w:cs="Times New Roman"/>
        </w:rPr>
        <w:t>provid</w:t>
      </w:r>
      <w:r w:rsidR="00EF51B9">
        <w:rPr>
          <w:rFonts w:ascii="Times New Roman" w:hAnsi="Times New Roman" w:cs="Times New Roman"/>
        </w:rPr>
        <w:t xml:space="preserve">e </w:t>
      </w:r>
      <w:r w:rsidR="00620CC4" w:rsidRPr="0068442A">
        <w:rPr>
          <w:rFonts w:ascii="Times New Roman" w:hAnsi="Times New Roman" w:cs="Times New Roman"/>
        </w:rPr>
        <w:t xml:space="preserve">the necessary conditions to receive education </w:t>
      </w:r>
      <w:r w:rsidR="00FE02E6" w:rsidRPr="0068442A">
        <w:rPr>
          <w:rFonts w:ascii="Times New Roman" w:hAnsi="Times New Roman" w:cs="Times New Roman"/>
        </w:rPr>
        <w:t xml:space="preserve">in a safe and harassment-free context. </w:t>
      </w:r>
    </w:p>
    <w:p w14:paraId="7A92D7B9" w14:textId="76FCE2A6" w:rsidR="00FE02E6" w:rsidRPr="006365FE" w:rsidRDefault="00946E4B" w:rsidP="00BF1E10">
      <w:pPr>
        <w:spacing w:line="360" w:lineRule="auto"/>
        <w:jc w:val="both"/>
        <w:rPr>
          <w:rFonts w:ascii="Times New Roman" w:hAnsi="Times New Roman" w:cs="Times New Roman"/>
          <w:i/>
        </w:rPr>
      </w:pPr>
      <w:r w:rsidRPr="0068442A">
        <w:rPr>
          <w:rFonts w:ascii="Times New Roman" w:hAnsi="Times New Roman" w:cs="Times New Roman"/>
          <w:i/>
        </w:rPr>
        <w:t xml:space="preserve">Increase in </w:t>
      </w:r>
      <w:r w:rsidRPr="00635A64">
        <w:rPr>
          <w:rFonts w:ascii="Times New Roman" w:hAnsi="Times New Roman" w:cs="Times New Roman"/>
          <w:i/>
        </w:rPr>
        <w:t>Enrolment Rates of G</w:t>
      </w:r>
      <w:r w:rsidR="00FE02E6" w:rsidRPr="006365FE">
        <w:rPr>
          <w:rFonts w:ascii="Times New Roman" w:hAnsi="Times New Roman" w:cs="Times New Roman"/>
          <w:i/>
        </w:rPr>
        <w:t>irls</w:t>
      </w:r>
    </w:p>
    <w:p w14:paraId="12106128" w14:textId="31C1239F" w:rsidR="00FE02E6" w:rsidRPr="0068442A" w:rsidRDefault="00FE02E6" w:rsidP="00BF1E10">
      <w:pPr>
        <w:spacing w:line="360" w:lineRule="auto"/>
        <w:jc w:val="both"/>
        <w:rPr>
          <w:rFonts w:ascii="Times New Roman" w:hAnsi="Times New Roman" w:cs="Times New Roman"/>
        </w:rPr>
      </w:pPr>
      <w:r w:rsidRPr="00635A64">
        <w:rPr>
          <w:rFonts w:ascii="Times New Roman" w:hAnsi="Times New Roman" w:cs="Times New Roman"/>
        </w:rPr>
        <w:t xml:space="preserve">Girls’ enrolment is a fundamental issue for </w:t>
      </w:r>
      <w:r w:rsidR="00C565F8" w:rsidRPr="00635A64">
        <w:rPr>
          <w:rFonts w:ascii="Times New Roman" w:hAnsi="Times New Roman" w:cs="Times New Roman"/>
        </w:rPr>
        <w:t>MoNE</w:t>
      </w:r>
      <w:r w:rsidR="00EA46A3" w:rsidRPr="00635A64">
        <w:rPr>
          <w:rFonts w:ascii="Times New Roman" w:hAnsi="Times New Roman" w:cs="Times New Roman"/>
        </w:rPr>
        <w:t>. D</w:t>
      </w:r>
      <w:r w:rsidRPr="00635A64">
        <w:rPr>
          <w:rFonts w:ascii="Times New Roman" w:hAnsi="Times New Roman" w:cs="Times New Roman"/>
        </w:rPr>
        <w:t>espite the</w:t>
      </w:r>
      <w:r w:rsidR="00C565F8" w:rsidRPr="00635A64">
        <w:rPr>
          <w:rFonts w:ascii="Times New Roman" w:hAnsi="Times New Roman" w:cs="Times New Roman"/>
        </w:rPr>
        <w:t xml:space="preserve"> nationwide campaigns and policy initiatives offering positive affirmation, </w:t>
      </w:r>
      <w:r w:rsidR="00635A64" w:rsidRPr="00635A64">
        <w:rPr>
          <w:rFonts w:ascii="Times New Roman" w:hAnsi="Times New Roman" w:cs="Times New Roman"/>
        </w:rPr>
        <w:t xml:space="preserve">100 per cent </w:t>
      </w:r>
      <w:r w:rsidR="009C5AF8">
        <w:rPr>
          <w:rFonts w:ascii="Times New Roman" w:hAnsi="Times New Roman" w:cs="Times New Roman"/>
        </w:rPr>
        <w:t>schooling</w:t>
      </w:r>
      <w:r w:rsidR="009C5AF8" w:rsidRPr="00635A64">
        <w:rPr>
          <w:rFonts w:ascii="Times New Roman" w:hAnsi="Times New Roman" w:cs="Times New Roman"/>
        </w:rPr>
        <w:t xml:space="preserve"> </w:t>
      </w:r>
      <w:r w:rsidR="00635A64" w:rsidRPr="00635A64">
        <w:rPr>
          <w:rFonts w:ascii="Times New Roman" w:hAnsi="Times New Roman" w:cs="Times New Roman"/>
        </w:rPr>
        <w:t>in primary schools has never been achieved for either girls and boys</w:t>
      </w:r>
      <w:r w:rsidR="00393E77" w:rsidRPr="00635A64">
        <w:rPr>
          <w:rFonts w:ascii="Times New Roman" w:hAnsi="Times New Roman" w:cs="Times New Roman"/>
        </w:rPr>
        <w:t xml:space="preserve">, </w:t>
      </w:r>
      <w:r w:rsidR="00635A64" w:rsidRPr="00EC7182">
        <w:rPr>
          <w:rFonts w:ascii="Times New Roman" w:hAnsi="Times New Roman" w:cs="Times New Roman"/>
        </w:rPr>
        <w:t xml:space="preserve">which is </w:t>
      </w:r>
      <w:r w:rsidR="00C565F8" w:rsidRPr="00635A64">
        <w:rPr>
          <w:rFonts w:ascii="Times New Roman" w:hAnsi="Times New Roman" w:cs="Times New Roman"/>
        </w:rPr>
        <w:t xml:space="preserve">particularly due to </w:t>
      </w:r>
      <w:r w:rsidR="00591354" w:rsidRPr="006365FE">
        <w:rPr>
          <w:rFonts w:ascii="Times New Roman" w:hAnsi="Times New Roman" w:cs="Times New Roman"/>
        </w:rPr>
        <w:t xml:space="preserve">the </w:t>
      </w:r>
      <w:r w:rsidR="00C565F8" w:rsidRPr="006365FE">
        <w:rPr>
          <w:rFonts w:ascii="Times New Roman" w:hAnsi="Times New Roman" w:cs="Times New Roman"/>
        </w:rPr>
        <w:t xml:space="preserve">cultural prohibition </w:t>
      </w:r>
      <w:r w:rsidR="00393E77" w:rsidRPr="00635A64">
        <w:rPr>
          <w:rFonts w:ascii="Times New Roman" w:hAnsi="Times New Roman" w:cs="Times New Roman"/>
        </w:rPr>
        <w:t xml:space="preserve">of </w:t>
      </w:r>
      <w:r w:rsidR="00C565F8" w:rsidRPr="00635A64">
        <w:rPr>
          <w:rFonts w:ascii="Times New Roman" w:hAnsi="Times New Roman" w:cs="Times New Roman"/>
        </w:rPr>
        <w:t>girls’ education in Eastern Turkey. Therefor</w:t>
      </w:r>
      <w:r w:rsidR="00C565F8" w:rsidRPr="0068442A">
        <w:rPr>
          <w:rFonts w:ascii="Times New Roman" w:hAnsi="Times New Roman" w:cs="Times New Roman"/>
        </w:rPr>
        <w:t>e, one of the selling points and frequently articulated aim</w:t>
      </w:r>
      <w:r w:rsidR="00CB2379" w:rsidRPr="0068442A">
        <w:rPr>
          <w:rFonts w:ascii="Times New Roman" w:hAnsi="Times New Roman" w:cs="Times New Roman"/>
        </w:rPr>
        <w:t>s</w:t>
      </w:r>
      <w:r w:rsidR="00C565F8" w:rsidRPr="0068442A">
        <w:rPr>
          <w:rFonts w:ascii="Times New Roman" w:hAnsi="Times New Roman" w:cs="Times New Roman"/>
        </w:rPr>
        <w:t xml:space="preserve"> of the new reform </w:t>
      </w:r>
      <w:r w:rsidR="00C565F8" w:rsidRPr="0068442A">
        <w:rPr>
          <w:rFonts w:ascii="Times New Roman" w:hAnsi="Times New Roman" w:cs="Times New Roman"/>
        </w:rPr>
        <w:lastRenderedPageBreak/>
        <w:t xml:space="preserve">was to increase </w:t>
      </w:r>
      <w:r w:rsidR="00E32ED9" w:rsidRPr="0068442A">
        <w:rPr>
          <w:rFonts w:ascii="Times New Roman" w:hAnsi="Times New Roman" w:cs="Times New Roman"/>
        </w:rPr>
        <w:t>the</w:t>
      </w:r>
      <w:r w:rsidR="00620CC4" w:rsidRPr="0068442A">
        <w:rPr>
          <w:rFonts w:ascii="Times New Roman" w:hAnsi="Times New Roman" w:cs="Times New Roman"/>
        </w:rPr>
        <w:t xml:space="preserve"> net</w:t>
      </w:r>
      <w:r w:rsidR="00E32ED9" w:rsidRPr="0068442A">
        <w:rPr>
          <w:rFonts w:ascii="Times New Roman" w:hAnsi="Times New Roman" w:cs="Times New Roman"/>
        </w:rPr>
        <w:t xml:space="preserve"> </w:t>
      </w:r>
      <w:r w:rsidR="00C565F8" w:rsidRPr="0068442A">
        <w:rPr>
          <w:rFonts w:ascii="Times New Roman" w:hAnsi="Times New Roman" w:cs="Times New Roman"/>
        </w:rPr>
        <w:t xml:space="preserve">enrolment rates of girls by increasing the number of religious schools and offering single-sex school as an intervention strategy to convince families </w:t>
      </w:r>
      <w:r w:rsidR="002E65C1" w:rsidRPr="0068442A">
        <w:rPr>
          <w:rFonts w:ascii="Times New Roman" w:hAnsi="Times New Roman" w:cs="Times New Roman"/>
        </w:rPr>
        <w:t xml:space="preserve">to </w:t>
      </w:r>
      <w:r w:rsidR="00C565F8" w:rsidRPr="0068442A">
        <w:rPr>
          <w:rFonts w:ascii="Times New Roman" w:hAnsi="Times New Roman" w:cs="Times New Roman"/>
        </w:rPr>
        <w:t xml:space="preserve">send their daughters to schools. Both </w:t>
      </w:r>
      <w:r w:rsidR="00CB2379" w:rsidRPr="0068442A">
        <w:rPr>
          <w:rFonts w:ascii="Times New Roman" w:hAnsi="Times New Roman" w:cs="Times New Roman"/>
        </w:rPr>
        <w:t xml:space="preserve">the </w:t>
      </w:r>
      <w:r w:rsidR="00C565F8" w:rsidRPr="0068442A">
        <w:rPr>
          <w:rFonts w:ascii="Times New Roman" w:hAnsi="Times New Roman" w:cs="Times New Roman"/>
        </w:rPr>
        <w:t>MoNE</w:t>
      </w:r>
      <w:r w:rsidR="0045677F" w:rsidRPr="0068442A">
        <w:rPr>
          <w:rFonts w:ascii="Times New Roman" w:hAnsi="Times New Roman" w:cs="Times New Roman"/>
        </w:rPr>
        <w:t xml:space="preserve"> (2016)</w:t>
      </w:r>
      <w:r w:rsidR="00CB2379" w:rsidRPr="0068442A">
        <w:rPr>
          <w:rFonts w:ascii="Times New Roman" w:hAnsi="Times New Roman" w:cs="Times New Roman"/>
        </w:rPr>
        <w:t xml:space="preserve"> </w:t>
      </w:r>
      <w:r w:rsidR="00C565F8" w:rsidRPr="0068442A">
        <w:rPr>
          <w:rFonts w:ascii="Times New Roman" w:hAnsi="Times New Roman" w:cs="Times New Roman"/>
        </w:rPr>
        <w:t>figures and teachers</w:t>
      </w:r>
      <w:r w:rsidR="00CB2379" w:rsidRPr="0068442A">
        <w:rPr>
          <w:rFonts w:ascii="Times New Roman" w:hAnsi="Times New Roman" w:cs="Times New Roman"/>
        </w:rPr>
        <w:t xml:space="preserve"> </w:t>
      </w:r>
      <w:r w:rsidR="00C565F8" w:rsidRPr="0068442A">
        <w:rPr>
          <w:rFonts w:ascii="Times New Roman" w:hAnsi="Times New Roman" w:cs="Times New Roman"/>
        </w:rPr>
        <w:t xml:space="preserve">in this study </w:t>
      </w:r>
      <w:r w:rsidR="00CB2379" w:rsidRPr="0068442A">
        <w:rPr>
          <w:rFonts w:ascii="Times New Roman" w:hAnsi="Times New Roman" w:cs="Times New Roman"/>
        </w:rPr>
        <w:t xml:space="preserve">support the argument </w:t>
      </w:r>
      <w:r w:rsidR="00C565F8" w:rsidRPr="0068442A">
        <w:rPr>
          <w:rFonts w:ascii="Times New Roman" w:hAnsi="Times New Roman" w:cs="Times New Roman"/>
        </w:rPr>
        <w:t xml:space="preserve">that </w:t>
      </w:r>
      <w:r w:rsidR="00CB2379" w:rsidRPr="0068442A">
        <w:rPr>
          <w:rFonts w:ascii="Times New Roman" w:hAnsi="Times New Roman" w:cs="Times New Roman"/>
        </w:rPr>
        <w:t xml:space="preserve">the </w:t>
      </w:r>
      <w:r w:rsidR="00C565F8" w:rsidRPr="0068442A">
        <w:rPr>
          <w:rFonts w:ascii="Times New Roman" w:hAnsi="Times New Roman" w:cs="Times New Roman"/>
        </w:rPr>
        <w:t>schooling ratio of girls</w:t>
      </w:r>
      <w:r w:rsidR="00CB2379" w:rsidRPr="0068442A">
        <w:rPr>
          <w:rFonts w:ascii="Times New Roman" w:hAnsi="Times New Roman" w:cs="Times New Roman"/>
        </w:rPr>
        <w:t>,</w:t>
      </w:r>
      <w:r w:rsidR="00C565F8" w:rsidRPr="0068442A">
        <w:rPr>
          <w:rFonts w:ascii="Times New Roman" w:hAnsi="Times New Roman" w:cs="Times New Roman"/>
        </w:rPr>
        <w:t xml:space="preserve"> </w:t>
      </w:r>
      <w:r w:rsidR="00A27AC4" w:rsidRPr="0068442A">
        <w:rPr>
          <w:rFonts w:ascii="Times New Roman" w:hAnsi="Times New Roman" w:cs="Times New Roman"/>
        </w:rPr>
        <w:t>particularly</w:t>
      </w:r>
      <w:r w:rsidR="00C565F8" w:rsidRPr="0068442A">
        <w:rPr>
          <w:rFonts w:ascii="Times New Roman" w:hAnsi="Times New Roman" w:cs="Times New Roman"/>
        </w:rPr>
        <w:t xml:space="preserve"> in</w:t>
      </w:r>
      <w:r w:rsidR="0066109E" w:rsidRPr="0068442A">
        <w:rPr>
          <w:rFonts w:ascii="Times New Roman" w:hAnsi="Times New Roman" w:cs="Times New Roman"/>
        </w:rPr>
        <w:t xml:space="preserve"> </w:t>
      </w:r>
      <w:r w:rsidR="00C565F8" w:rsidRPr="0068442A">
        <w:rPr>
          <w:rFonts w:ascii="Times New Roman" w:hAnsi="Times New Roman" w:cs="Times New Roman"/>
        </w:rPr>
        <w:t>primary education</w:t>
      </w:r>
      <w:r w:rsidR="00CB2379" w:rsidRPr="0068442A">
        <w:rPr>
          <w:rFonts w:ascii="Times New Roman" w:hAnsi="Times New Roman" w:cs="Times New Roman"/>
        </w:rPr>
        <w:t>,</w:t>
      </w:r>
      <w:r w:rsidR="00620CC4" w:rsidRPr="0068442A">
        <w:rPr>
          <w:rFonts w:ascii="Times New Roman" w:hAnsi="Times New Roman" w:cs="Times New Roman"/>
        </w:rPr>
        <w:t xml:space="preserve"> </w:t>
      </w:r>
      <w:r w:rsidR="00ED784C">
        <w:rPr>
          <w:rFonts w:ascii="Times New Roman" w:hAnsi="Times New Roman" w:cs="Times New Roman"/>
        </w:rPr>
        <w:t xml:space="preserve">has </w:t>
      </w:r>
      <w:r w:rsidR="00620CC4" w:rsidRPr="0068442A">
        <w:rPr>
          <w:rFonts w:ascii="Times New Roman" w:hAnsi="Times New Roman" w:cs="Times New Roman"/>
        </w:rPr>
        <w:t>indeed</w:t>
      </w:r>
      <w:r w:rsidR="00C565F8" w:rsidRPr="0068442A">
        <w:rPr>
          <w:rFonts w:ascii="Times New Roman" w:hAnsi="Times New Roman" w:cs="Times New Roman"/>
        </w:rPr>
        <w:t xml:space="preserve"> increased</w:t>
      </w:r>
      <w:r w:rsidR="003B2B72" w:rsidRPr="0068442A">
        <w:rPr>
          <w:rFonts w:ascii="Times New Roman" w:hAnsi="Times New Roman" w:cs="Times New Roman"/>
        </w:rPr>
        <w:t>:</w:t>
      </w:r>
    </w:p>
    <w:p w14:paraId="78516D5E" w14:textId="6690185F" w:rsidR="00C565F8" w:rsidRPr="0068442A" w:rsidRDefault="00C565F8" w:rsidP="00BF1E10">
      <w:pPr>
        <w:spacing w:line="360" w:lineRule="auto"/>
        <w:ind w:left="720"/>
        <w:jc w:val="both"/>
        <w:rPr>
          <w:rFonts w:ascii="Times New Roman" w:hAnsi="Times New Roman" w:cs="Times New Roman"/>
        </w:rPr>
      </w:pPr>
      <w:r w:rsidRPr="0068442A">
        <w:rPr>
          <w:rFonts w:ascii="Times New Roman" w:hAnsi="Times New Roman" w:cs="Times New Roman"/>
        </w:rPr>
        <w:t xml:space="preserve">I can say that the schooling rate of girls </w:t>
      </w:r>
      <w:r w:rsidR="00E32ED9" w:rsidRPr="0068442A">
        <w:rPr>
          <w:rFonts w:ascii="Times New Roman" w:hAnsi="Times New Roman" w:cs="Times New Roman"/>
        </w:rPr>
        <w:t xml:space="preserve">has </w:t>
      </w:r>
      <w:r w:rsidR="002E65C1" w:rsidRPr="0068442A">
        <w:rPr>
          <w:rFonts w:ascii="Times New Roman" w:hAnsi="Times New Roman" w:cs="Times New Roman"/>
        </w:rPr>
        <w:t>increased</w:t>
      </w:r>
      <w:r w:rsidRPr="0068442A">
        <w:rPr>
          <w:rFonts w:ascii="Times New Roman" w:hAnsi="Times New Roman" w:cs="Times New Roman"/>
        </w:rPr>
        <w:t xml:space="preserve"> since the (single</w:t>
      </w:r>
      <w:r w:rsidR="0071788E" w:rsidRPr="0068442A">
        <w:rPr>
          <w:rFonts w:ascii="Times New Roman" w:hAnsi="Times New Roman" w:cs="Times New Roman"/>
        </w:rPr>
        <w:t>-</w:t>
      </w:r>
      <w:r w:rsidRPr="0068442A">
        <w:rPr>
          <w:rFonts w:ascii="Times New Roman" w:hAnsi="Times New Roman" w:cs="Times New Roman"/>
        </w:rPr>
        <w:t>sex) education respect</w:t>
      </w:r>
      <w:r w:rsidR="00E32ED9" w:rsidRPr="0068442A">
        <w:rPr>
          <w:rFonts w:ascii="Times New Roman" w:hAnsi="Times New Roman" w:cs="Times New Roman"/>
        </w:rPr>
        <w:t>s</w:t>
      </w:r>
      <w:r w:rsidRPr="0068442A">
        <w:rPr>
          <w:rFonts w:ascii="Times New Roman" w:hAnsi="Times New Roman" w:cs="Times New Roman"/>
        </w:rPr>
        <w:t xml:space="preserve"> the cultural values of the community here. Your daughter sharing her class and desk with a male student may not be important for you</w:t>
      </w:r>
      <w:r w:rsidR="00F31E7F" w:rsidRPr="0068442A">
        <w:rPr>
          <w:rFonts w:ascii="Times New Roman" w:hAnsi="Times New Roman" w:cs="Times New Roman"/>
        </w:rPr>
        <w:t>,</w:t>
      </w:r>
      <w:r w:rsidRPr="0068442A">
        <w:rPr>
          <w:rFonts w:ascii="Times New Roman" w:hAnsi="Times New Roman" w:cs="Times New Roman"/>
        </w:rPr>
        <w:t xml:space="preserve"> but it is very important and unacceptable for people</w:t>
      </w:r>
      <w:r w:rsidR="00E732D8" w:rsidRPr="0068442A">
        <w:rPr>
          <w:rFonts w:ascii="Times New Roman" w:hAnsi="Times New Roman" w:cs="Times New Roman"/>
        </w:rPr>
        <w:t xml:space="preserve"> here</w:t>
      </w:r>
      <w:r w:rsidR="00E32ED9" w:rsidRPr="0068442A">
        <w:rPr>
          <w:rFonts w:ascii="Times New Roman" w:hAnsi="Times New Roman" w:cs="Times New Roman"/>
        </w:rPr>
        <w:t>,</w:t>
      </w:r>
      <w:r w:rsidRPr="0068442A">
        <w:rPr>
          <w:rFonts w:ascii="Times New Roman" w:hAnsi="Times New Roman" w:cs="Times New Roman"/>
        </w:rPr>
        <w:t xml:space="preserve"> to the extent that girls choose to drop-out</w:t>
      </w:r>
      <w:r w:rsidR="00127847" w:rsidRPr="0068442A">
        <w:rPr>
          <w:rFonts w:ascii="Times New Roman" w:hAnsi="Times New Roman" w:cs="Times New Roman"/>
        </w:rPr>
        <w:t xml:space="preserve"> (</w:t>
      </w:r>
      <w:r w:rsidR="00862663" w:rsidRPr="0068442A">
        <w:rPr>
          <w:rFonts w:ascii="Times New Roman" w:hAnsi="Times New Roman" w:cs="Times New Roman"/>
        </w:rPr>
        <w:t>Behice, teacher</w:t>
      </w:r>
      <w:r w:rsidR="00127847" w:rsidRPr="0068442A">
        <w:rPr>
          <w:rFonts w:ascii="Times New Roman" w:hAnsi="Times New Roman" w:cs="Times New Roman"/>
        </w:rPr>
        <w:t>)</w:t>
      </w:r>
      <w:r w:rsidRPr="0068442A">
        <w:rPr>
          <w:rFonts w:ascii="Times New Roman" w:hAnsi="Times New Roman" w:cs="Times New Roman"/>
        </w:rPr>
        <w:t xml:space="preserve">. </w:t>
      </w:r>
    </w:p>
    <w:p w14:paraId="0EC8BDEC" w14:textId="6C0F2698" w:rsidR="0037514F" w:rsidRPr="0068442A" w:rsidRDefault="0037514F" w:rsidP="00BF1E10">
      <w:pPr>
        <w:spacing w:line="360" w:lineRule="auto"/>
        <w:ind w:left="720"/>
        <w:rPr>
          <w:rFonts w:ascii="Times New Roman" w:hAnsi="Times New Roman" w:cs="Times New Roman"/>
        </w:rPr>
      </w:pPr>
      <w:r w:rsidRPr="0068442A">
        <w:rPr>
          <w:rFonts w:ascii="Times New Roman" w:hAnsi="Times New Roman" w:cs="Times New Roman"/>
        </w:rPr>
        <w:t>I see that families in</w:t>
      </w:r>
      <w:r w:rsidR="002E65C1" w:rsidRPr="0068442A">
        <w:rPr>
          <w:rFonts w:ascii="Times New Roman" w:hAnsi="Times New Roman" w:cs="Times New Roman"/>
        </w:rPr>
        <w:t xml:space="preserve"> the </w:t>
      </w:r>
      <w:r w:rsidRPr="0068442A">
        <w:rPr>
          <w:rFonts w:ascii="Times New Roman" w:hAnsi="Times New Roman" w:cs="Times New Roman"/>
        </w:rPr>
        <w:t xml:space="preserve">village that would not send their daughters to schools </w:t>
      </w:r>
      <w:r w:rsidR="00E74D2A" w:rsidRPr="0068442A">
        <w:rPr>
          <w:rFonts w:ascii="Times New Roman" w:hAnsi="Times New Roman" w:cs="Times New Roman"/>
        </w:rPr>
        <w:t xml:space="preserve">do so </w:t>
      </w:r>
      <w:r w:rsidRPr="0068442A">
        <w:rPr>
          <w:rFonts w:ascii="Times New Roman" w:hAnsi="Times New Roman" w:cs="Times New Roman"/>
        </w:rPr>
        <w:t xml:space="preserve">now because there are religious schools offering single-sex education and single-sex dormitories and all opportunities are being provided for girls to study. </w:t>
      </w:r>
      <w:r w:rsidR="00412DF8">
        <w:rPr>
          <w:rFonts w:ascii="Times New Roman" w:hAnsi="Times New Roman" w:cs="Times New Roman"/>
        </w:rPr>
        <w:t>[</w:t>
      </w:r>
      <w:r w:rsidRPr="0068442A">
        <w:rPr>
          <w:rFonts w:ascii="Times New Roman" w:hAnsi="Times New Roman" w:cs="Times New Roman"/>
        </w:rPr>
        <w:t>…</w:t>
      </w:r>
      <w:r w:rsidR="00412DF8">
        <w:rPr>
          <w:rFonts w:ascii="Times New Roman" w:hAnsi="Times New Roman" w:cs="Times New Roman"/>
        </w:rPr>
        <w:t>]</w:t>
      </w:r>
      <w:r w:rsidRPr="0068442A">
        <w:rPr>
          <w:rFonts w:ascii="Times New Roman" w:hAnsi="Times New Roman" w:cs="Times New Roman"/>
        </w:rPr>
        <w:t xml:space="preserve"> </w:t>
      </w:r>
      <w:r w:rsidR="00426445" w:rsidRPr="0068442A">
        <w:rPr>
          <w:rFonts w:ascii="Times New Roman" w:hAnsi="Times New Roman" w:cs="Times New Roman"/>
        </w:rPr>
        <w:t>So</w:t>
      </w:r>
      <w:r w:rsidRPr="0068442A">
        <w:rPr>
          <w:rFonts w:ascii="Times New Roman" w:hAnsi="Times New Roman" w:cs="Times New Roman"/>
        </w:rPr>
        <w:t xml:space="preserve"> I cannot deny its </w:t>
      </w:r>
      <w:r w:rsidR="00412DF8">
        <w:rPr>
          <w:rFonts w:ascii="Times New Roman" w:hAnsi="Times New Roman" w:cs="Times New Roman"/>
        </w:rPr>
        <w:t>[</w:t>
      </w:r>
      <w:r w:rsidRPr="0068442A">
        <w:rPr>
          <w:rFonts w:ascii="Times New Roman" w:hAnsi="Times New Roman" w:cs="Times New Roman"/>
        </w:rPr>
        <w:t>4+’s</w:t>
      </w:r>
      <w:r w:rsidR="00412DF8">
        <w:rPr>
          <w:rFonts w:ascii="Times New Roman" w:hAnsi="Times New Roman" w:cs="Times New Roman"/>
        </w:rPr>
        <w:t>]</w:t>
      </w:r>
      <w:r w:rsidRPr="0068442A">
        <w:rPr>
          <w:rFonts w:ascii="Times New Roman" w:hAnsi="Times New Roman" w:cs="Times New Roman"/>
        </w:rPr>
        <w:t xml:space="preserve"> contribution to </w:t>
      </w:r>
      <w:r w:rsidR="00E74D2A" w:rsidRPr="0068442A">
        <w:rPr>
          <w:rFonts w:ascii="Times New Roman" w:hAnsi="Times New Roman" w:cs="Times New Roman"/>
        </w:rPr>
        <w:t xml:space="preserve">the </w:t>
      </w:r>
      <w:r w:rsidRPr="0068442A">
        <w:rPr>
          <w:rFonts w:ascii="Times New Roman" w:hAnsi="Times New Roman" w:cs="Times New Roman"/>
        </w:rPr>
        <w:t>schooling ratio</w:t>
      </w:r>
      <w:r w:rsidR="00127847" w:rsidRPr="0068442A">
        <w:rPr>
          <w:rFonts w:ascii="Times New Roman" w:hAnsi="Times New Roman" w:cs="Times New Roman"/>
        </w:rPr>
        <w:t xml:space="preserve"> (</w:t>
      </w:r>
      <w:r w:rsidR="00862663" w:rsidRPr="0068442A">
        <w:rPr>
          <w:rFonts w:ascii="Times New Roman" w:hAnsi="Times New Roman" w:cs="Times New Roman"/>
        </w:rPr>
        <w:t xml:space="preserve">Cem, </w:t>
      </w:r>
      <w:r w:rsidR="00A81AB0" w:rsidRPr="0068442A">
        <w:rPr>
          <w:rFonts w:ascii="Times New Roman" w:hAnsi="Times New Roman" w:cs="Times New Roman"/>
        </w:rPr>
        <w:t>p</w:t>
      </w:r>
      <w:r w:rsidR="00862663" w:rsidRPr="0068442A">
        <w:rPr>
          <w:rFonts w:ascii="Times New Roman" w:hAnsi="Times New Roman" w:cs="Times New Roman"/>
        </w:rPr>
        <w:t>rincipal</w:t>
      </w:r>
      <w:r w:rsidR="00127847" w:rsidRPr="0068442A">
        <w:rPr>
          <w:rFonts w:ascii="Times New Roman" w:hAnsi="Times New Roman" w:cs="Times New Roman"/>
        </w:rPr>
        <w:t>)</w:t>
      </w:r>
      <w:r w:rsidRPr="0068442A">
        <w:rPr>
          <w:rFonts w:ascii="Times New Roman" w:hAnsi="Times New Roman" w:cs="Times New Roman"/>
        </w:rPr>
        <w:t>.</w:t>
      </w:r>
    </w:p>
    <w:p w14:paraId="3A5410E5" w14:textId="2B693E19" w:rsidR="00E33F70" w:rsidRPr="0068442A" w:rsidRDefault="006C0021" w:rsidP="006C0021">
      <w:pPr>
        <w:spacing w:line="360" w:lineRule="auto"/>
        <w:ind w:firstLine="720"/>
        <w:jc w:val="both"/>
        <w:rPr>
          <w:rStyle w:val="fontbold"/>
          <w:rFonts w:ascii="Times New Roman" w:hAnsi="Times New Roman" w:cs="Times New Roman"/>
        </w:rPr>
      </w:pPr>
      <w:r w:rsidRPr="0068442A">
        <w:rPr>
          <w:rFonts w:ascii="Times New Roman" w:hAnsi="Times New Roman" w:cs="Times New Roman"/>
        </w:rPr>
        <w:t>The</w:t>
      </w:r>
      <w:r w:rsidR="00620CC4" w:rsidRPr="0068442A">
        <w:rPr>
          <w:rFonts w:ascii="Times New Roman" w:hAnsi="Times New Roman" w:cs="Times New Roman"/>
        </w:rPr>
        <w:t xml:space="preserve"> reform played a crucial</w:t>
      </w:r>
      <w:r w:rsidR="0037514F" w:rsidRPr="0068442A">
        <w:rPr>
          <w:rFonts w:ascii="Times New Roman" w:hAnsi="Times New Roman" w:cs="Times New Roman"/>
        </w:rPr>
        <w:t xml:space="preserve"> role in enabling girls’ access</w:t>
      </w:r>
      <w:r w:rsidR="00D31EDF" w:rsidRPr="0068442A">
        <w:rPr>
          <w:rFonts w:ascii="Times New Roman" w:hAnsi="Times New Roman" w:cs="Times New Roman"/>
        </w:rPr>
        <w:t xml:space="preserve"> to</w:t>
      </w:r>
      <w:r w:rsidR="0037514F" w:rsidRPr="0068442A">
        <w:rPr>
          <w:rFonts w:ascii="Times New Roman" w:hAnsi="Times New Roman" w:cs="Times New Roman"/>
        </w:rPr>
        <w:t xml:space="preserve"> and participat</w:t>
      </w:r>
      <w:r w:rsidR="00D31EDF" w:rsidRPr="0068442A">
        <w:rPr>
          <w:rFonts w:ascii="Times New Roman" w:hAnsi="Times New Roman" w:cs="Times New Roman"/>
        </w:rPr>
        <w:t xml:space="preserve">ion in </w:t>
      </w:r>
      <w:r w:rsidR="0037514F" w:rsidRPr="0068442A">
        <w:rPr>
          <w:rFonts w:ascii="Times New Roman" w:hAnsi="Times New Roman" w:cs="Times New Roman"/>
        </w:rPr>
        <w:t>education</w:t>
      </w:r>
      <w:r w:rsidR="00D86174" w:rsidRPr="0068442A">
        <w:rPr>
          <w:rFonts w:ascii="Times New Roman" w:hAnsi="Times New Roman" w:cs="Times New Roman"/>
        </w:rPr>
        <w:t xml:space="preserve">; many of these girls </w:t>
      </w:r>
      <w:r w:rsidR="0037514F" w:rsidRPr="0068442A">
        <w:rPr>
          <w:rFonts w:ascii="Times New Roman" w:hAnsi="Times New Roman" w:cs="Times New Roman"/>
        </w:rPr>
        <w:t xml:space="preserve">would otherwise be kept out of schooling and be pushed </w:t>
      </w:r>
      <w:r w:rsidR="00D86174" w:rsidRPr="0068442A">
        <w:rPr>
          <w:rFonts w:ascii="Times New Roman" w:hAnsi="Times New Roman" w:cs="Times New Roman"/>
        </w:rPr>
        <w:t>toward</w:t>
      </w:r>
      <w:r w:rsidR="0037514F" w:rsidRPr="0068442A">
        <w:rPr>
          <w:rFonts w:ascii="Times New Roman" w:hAnsi="Times New Roman" w:cs="Times New Roman"/>
        </w:rPr>
        <w:t xml:space="preserve"> early marriage. Althoug</w:t>
      </w:r>
      <w:r w:rsidR="00072513" w:rsidRPr="0068442A">
        <w:rPr>
          <w:rFonts w:ascii="Times New Roman" w:hAnsi="Times New Roman" w:cs="Times New Roman"/>
        </w:rPr>
        <w:t>h</w:t>
      </w:r>
      <w:r w:rsidR="0037514F" w:rsidRPr="0068442A">
        <w:rPr>
          <w:rFonts w:ascii="Times New Roman" w:hAnsi="Times New Roman" w:cs="Times New Roman"/>
        </w:rPr>
        <w:t xml:space="preserve"> the education being provided is religion</w:t>
      </w:r>
      <w:r w:rsidR="00072513" w:rsidRPr="0068442A">
        <w:rPr>
          <w:rFonts w:ascii="Times New Roman" w:hAnsi="Times New Roman" w:cs="Times New Roman"/>
        </w:rPr>
        <w:t>-</w:t>
      </w:r>
      <w:r w:rsidR="0037514F" w:rsidRPr="0068442A">
        <w:rPr>
          <w:rFonts w:ascii="Times New Roman" w:hAnsi="Times New Roman" w:cs="Times New Roman"/>
        </w:rPr>
        <w:t>based, teachers emphasi</w:t>
      </w:r>
      <w:r w:rsidR="0050617E" w:rsidRPr="0068442A">
        <w:rPr>
          <w:rFonts w:ascii="Times New Roman" w:hAnsi="Times New Roman" w:cs="Times New Roman"/>
        </w:rPr>
        <w:t>s</w:t>
      </w:r>
      <w:r w:rsidR="0037514F" w:rsidRPr="0068442A">
        <w:rPr>
          <w:rFonts w:ascii="Times New Roman" w:hAnsi="Times New Roman" w:cs="Times New Roman"/>
        </w:rPr>
        <w:t xml:space="preserve">e that this is what most families </w:t>
      </w:r>
      <w:r w:rsidR="008D6B19" w:rsidRPr="0068442A">
        <w:rPr>
          <w:rFonts w:ascii="Times New Roman" w:hAnsi="Times New Roman" w:cs="Times New Roman"/>
        </w:rPr>
        <w:t xml:space="preserve">in the region (Eastern Turkey) </w:t>
      </w:r>
      <w:r w:rsidR="0037514F" w:rsidRPr="0068442A">
        <w:rPr>
          <w:rFonts w:ascii="Times New Roman" w:hAnsi="Times New Roman" w:cs="Times New Roman"/>
        </w:rPr>
        <w:t>want and it is the main motivation for parents to se</w:t>
      </w:r>
      <w:r w:rsidR="00E33F70" w:rsidRPr="0068442A">
        <w:rPr>
          <w:rFonts w:ascii="Times New Roman" w:hAnsi="Times New Roman" w:cs="Times New Roman"/>
        </w:rPr>
        <w:t xml:space="preserve">nd their girls to schools. </w:t>
      </w:r>
      <w:r w:rsidR="00C11DC3" w:rsidRPr="0068442A">
        <w:rPr>
          <w:rFonts w:ascii="Times New Roman" w:hAnsi="Times New Roman" w:cs="Times New Roman"/>
        </w:rPr>
        <w:t>W</w:t>
      </w:r>
      <w:r w:rsidR="0037514F" w:rsidRPr="0068442A">
        <w:rPr>
          <w:rFonts w:ascii="Times New Roman" w:hAnsi="Times New Roman" w:cs="Times New Roman"/>
        </w:rPr>
        <w:t xml:space="preserve">e can speak of </w:t>
      </w:r>
      <w:r w:rsidR="00072513" w:rsidRPr="0068442A">
        <w:rPr>
          <w:rFonts w:ascii="Times New Roman" w:hAnsi="Times New Roman" w:cs="Times New Roman"/>
        </w:rPr>
        <w:t xml:space="preserve">the </w:t>
      </w:r>
      <w:r w:rsidR="0037514F" w:rsidRPr="0068442A">
        <w:rPr>
          <w:rFonts w:ascii="Times New Roman" w:hAnsi="Times New Roman" w:cs="Times New Roman"/>
        </w:rPr>
        <w:t>participation of girls</w:t>
      </w:r>
      <w:r w:rsidR="00E33F70" w:rsidRPr="0068442A">
        <w:rPr>
          <w:rFonts w:ascii="Times New Roman" w:hAnsi="Times New Roman" w:cs="Times New Roman"/>
        </w:rPr>
        <w:t xml:space="preserve"> in education as an expansion of their intellectual capability </w:t>
      </w:r>
      <w:r w:rsidR="00072513" w:rsidRPr="0068442A">
        <w:rPr>
          <w:rFonts w:ascii="Times New Roman" w:hAnsi="Times New Roman" w:cs="Times New Roman"/>
        </w:rPr>
        <w:t>to receive</w:t>
      </w:r>
      <w:r w:rsidR="00E33F70" w:rsidRPr="0068442A">
        <w:rPr>
          <w:rFonts w:ascii="Times New Roman" w:hAnsi="Times New Roman" w:cs="Times New Roman"/>
        </w:rPr>
        <w:t xml:space="preserve"> education,</w:t>
      </w:r>
      <w:r w:rsidR="00620CC4" w:rsidRPr="0068442A">
        <w:rPr>
          <w:rFonts w:ascii="Times New Roman" w:hAnsi="Times New Roman" w:cs="Times New Roman"/>
        </w:rPr>
        <w:t xml:space="preserve"> to gain skills of literacy and numera</w:t>
      </w:r>
      <w:r w:rsidR="00B92412" w:rsidRPr="0068442A">
        <w:rPr>
          <w:rFonts w:ascii="Times New Roman" w:hAnsi="Times New Roman" w:cs="Times New Roman"/>
        </w:rPr>
        <w:t>cy, to access the opportunities and</w:t>
      </w:r>
      <w:r w:rsidR="00620CC4" w:rsidRPr="0068442A">
        <w:rPr>
          <w:rFonts w:ascii="Times New Roman" w:hAnsi="Times New Roman" w:cs="Times New Roman"/>
        </w:rPr>
        <w:t xml:space="preserve"> knowledge that could change their lives</w:t>
      </w:r>
      <w:r w:rsidR="00B92412" w:rsidRPr="0068442A">
        <w:rPr>
          <w:rFonts w:ascii="Times New Roman" w:hAnsi="Times New Roman" w:cs="Times New Roman"/>
        </w:rPr>
        <w:t xml:space="preserve"> or </w:t>
      </w:r>
      <w:r w:rsidR="00601F99" w:rsidRPr="0068442A">
        <w:rPr>
          <w:rFonts w:ascii="Times New Roman" w:hAnsi="Times New Roman" w:cs="Times New Roman"/>
        </w:rPr>
        <w:t>open</w:t>
      </w:r>
      <w:r w:rsidR="00B92412" w:rsidRPr="0068442A">
        <w:rPr>
          <w:rFonts w:ascii="Times New Roman" w:hAnsi="Times New Roman" w:cs="Times New Roman"/>
        </w:rPr>
        <w:t xml:space="preserve"> better lives than they lead although we remain sceptical that religious education</w:t>
      </w:r>
      <w:r w:rsidR="00601F99" w:rsidRPr="0068442A">
        <w:rPr>
          <w:rFonts w:ascii="Times New Roman" w:hAnsi="Times New Roman" w:cs="Times New Roman"/>
        </w:rPr>
        <w:t xml:space="preserve"> </w:t>
      </w:r>
      <w:r w:rsidR="00B92412" w:rsidRPr="0068442A">
        <w:rPr>
          <w:rFonts w:ascii="Times New Roman" w:hAnsi="Times New Roman" w:cs="Times New Roman"/>
        </w:rPr>
        <w:t>may</w:t>
      </w:r>
      <w:r w:rsidR="00601F99" w:rsidRPr="0068442A">
        <w:rPr>
          <w:rFonts w:ascii="Times New Roman" w:hAnsi="Times New Roman" w:cs="Times New Roman"/>
        </w:rPr>
        <w:t xml:space="preserve"> not</w:t>
      </w:r>
      <w:r w:rsidR="00B92412" w:rsidRPr="0068442A">
        <w:rPr>
          <w:rFonts w:ascii="Times New Roman" w:hAnsi="Times New Roman" w:cs="Times New Roman"/>
        </w:rPr>
        <w:t xml:space="preserve"> </w:t>
      </w:r>
      <w:r w:rsidR="00601F99" w:rsidRPr="0068442A">
        <w:rPr>
          <w:rFonts w:ascii="Times New Roman" w:hAnsi="Times New Roman" w:cs="Times New Roman"/>
        </w:rPr>
        <w:t>challenge</w:t>
      </w:r>
      <w:r w:rsidR="00B92412" w:rsidRPr="0068442A">
        <w:rPr>
          <w:rFonts w:ascii="Times New Roman" w:hAnsi="Times New Roman" w:cs="Times New Roman"/>
        </w:rPr>
        <w:t xml:space="preserve"> the</w:t>
      </w:r>
      <w:r w:rsidR="00601F99" w:rsidRPr="0068442A">
        <w:rPr>
          <w:rFonts w:ascii="Times New Roman" w:hAnsi="Times New Roman" w:cs="Times New Roman"/>
        </w:rPr>
        <w:t xml:space="preserve"> stereotyping or coding regarding</w:t>
      </w:r>
      <w:r w:rsidR="00B92412" w:rsidRPr="0068442A">
        <w:rPr>
          <w:rFonts w:ascii="Times New Roman" w:hAnsi="Times New Roman" w:cs="Times New Roman"/>
        </w:rPr>
        <w:t xml:space="preserve"> </w:t>
      </w:r>
      <w:r w:rsidR="00601F99" w:rsidRPr="0068442A">
        <w:rPr>
          <w:rFonts w:ascii="Times New Roman" w:hAnsi="Times New Roman" w:cs="Times New Roman"/>
        </w:rPr>
        <w:t>traditional roles of women in the society and family. So, as it stands, the reform does</w:t>
      </w:r>
      <w:r w:rsidR="00072513" w:rsidRPr="0068442A">
        <w:rPr>
          <w:rFonts w:ascii="Times New Roman" w:hAnsi="Times New Roman" w:cs="Times New Roman"/>
        </w:rPr>
        <w:t xml:space="preserve"> not</w:t>
      </w:r>
      <w:r w:rsidR="00E33F70" w:rsidRPr="0068442A">
        <w:rPr>
          <w:rFonts w:ascii="Times New Roman" w:hAnsi="Times New Roman" w:cs="Times New Roman"/>
        </w:rPr>
        <w:t xml:space="preserve"> address how the content and experiences of schoo</w:t>
      </w:r>
      <w:r w:rsidR="00620CC4" w:rsidRPr="0068442A">
        <w:rPr>
          <w:rFonts w:ascii="Times New Roman" w:hAnsi="Times New Roman" w:cs="Times New Roman"/>
        </w:rPr>
        <w:t>ling relate to gender equality.</w:t>
      </w:r>
    </w:p>
    <w:p w14:paraId="4618E7D9" w14:textId="614BEE9E" w:rsidR="00E33F70" w:rsidRPr="0068442A" w:rsidRDefault="006241A7" w:rsidP="00BF1E10">
      <w:pPr>
        <w:spacing w:line="360" w:lineRule="auto"/>
        <w:jc w:val="both"/>
        <w:rPr>
          <w:rStyle w:val="fontbold"/>
          <w:rFonts w:ascii="Times New Roman" w:hAnsi="Times New Roman" w:cs="Times New Roman"/>
          <w:i/>
        </w:rPr>
      </w:pPr>
      <w:r w:rsidRPr="0068442A">
        <w:rPr>
          <w:rStyle w:val="fontbold"/>
          <w:rFonts w:ascii="Times New Roman" w:hAnsi="Times New Roman" w:cs="Times New Roman"/>
          <w:i/>
        </w:rPr>
        <w:t>Constraining</w:t>
      </w:r>
      <w:r w:rsidR="00946E4B" w:rsidRPr="0068442A">
        <w:rPr>
          <w:rStyle w:val="fontbold"/>
          <w:rFonts w:ascii="Times New Roman" w:hAnsi="Times New Roman" w:cs="Times New Roman"/>
          <w:i/>
        </w:rPr>
        <w:t xml:space="preserve"> Girls’ Social C</w:t>
      </w:r>
      <w:r w:rsidR="00E33F70" w:rsidRPr="0068442A">
        <w:rPr>
          <w:rStyle w:val="fontbold"/>
          <w:rFonts w:ascii="Times New Roman" w:hAnsi="Times New Roman" w:cs="Times New Roman"/>
          <w:i/>
        </w:rPr>
        <w:t>apabilities</w:t>
      </w:r>
    </w:p>
    <w:p w14:paraId="7C6AB6A9" w14:textId="49CA5F4D" w:rsidR="00355C0D" w:rsidRPr="0068442A" w:rsidRDefault="00E33F70" w:rsidP="00BF1E10">
      <w:pPr>
        <w:spacing w:line="360" w:lineRule="auto"/>
        <w:jc w:val="both"/>
        <w:rPr>
          <w:rStyle w:val="fontbold"/>
          <w:rFonts w:ascii="Times New Roman" w:hAnsi="Times New Roman" w:cs="Times New Roman"/>
        </w:rPr>
      </w:pPr>
      <w:r w:rsidRPr="0068442A">
        <w:rPr>
          <w:rStyle w:val="fontbold"/>
          <w:rFonts w:ascii="Times New Roman" w:hAnsi="Times New Roman" w:cs="Times New Roman"/>
        </w:rPr>
        <w:t xml:space="preserve">Despite increasing girls’ enrolment and providing </w:t>
      </w:r>
      <w:r w:rsidR="00451335" w:rsidRPr="0068442A">
        <w:rPr>
          <w:rStyle w:val="fontbold"/>
          <w:rFonts w:ascii="Times New Roman" w:hAnsi="Times New Roman" w:cs="Times New Roman"/>
        </w:rPr>
        <w:t xml:space="preserve">a </w:t>
      </w:r>
      <w:r w:rsidRPr="0068442A">
        <w:rPr>
          <w:rStyle w:val="fontbold"/>
          <w:rFonts w:ascii="Times New Roman" w:hAnsi="Times New Roman" w:cs="Times New Roman"/>
        </w:rPr>
        <w:t xml:space="preserve">safe and efficient learning environment, the single-sex education adopted by the reform </w:t>
      </w:r>
      <w:r w:rsidR="00B53F1B" w:rsidRPr="0068442A">
        <w:rPr>
          <w:rStyle w:val="fontbold"/>
          <w:rFonts w:ascii="Times New Roman" w:hAnsi="Times New Roman" w:cs="Times New Roman"/>
        </w:rPr>
        <w:t xml:space="preserve">has </w:t>
      </w:r>
      <w:r w:rsidRPr="0068442A">
        <w:rPr>
          <w:rStyle w:val="fontbold"/>
          <w:rFonts w:ascii="Times New Roman" w:hAnsi="Times New Roman" w:cs="Times New Roman"/>
        </w:rPr>
        <w:t xml:space="preserve">deprived girls of the opportunity </w:t>
      </w:r>
      <w:r w:rsidR="00B53F1B" w:rsidRPr="0068442A">
        <w:rPr>
          <w:rStyle w:val="fontbold"/>
          <w:rFonts w:ascii="Times New Roman" w:hAnsi="Times New Roman" w:cs="Times New Roman"/>
        </w:rPr>
        <w:t>to engage in</w:t>
      </w:r>
      <w:r w:rsidR="00355C0D" w:rsidRPr="0068442A">
        <w:rPr>
          <w:rStyle w:val="fontbold"/>
          <w:rFonts w:ascii="Times New Roman" w:hAnsi="Times New Roman" w:cs="Times New Roman"/>
        </w:rPr>
        <w:t xml:space="preserve"> mixed</w:t>
      </w:r>
      <w:r w:rsidR="007424DA" w:rsidRPr="0068442A">
        <w:rPr>
          <w:rStyle w:val="fontbold"/>
          <w:rFonts w:ascii="Times New Roman" w:hAnsi="Times New Roman" w:cs="Times New Roman"/>
        </w:rPr>
        <w:t>-</w:t>
      </w:r>
      <w:r w:rsidR="00355C0D" w:rsidRPr="0068442A">
        <w:rPr>
          <w:rStyle w:val="fontbold"/>
          <w:rFonts w:ascii="Times New Roman" w:hAnsi="Times New Roman" w:cs="Times New Roman"/>
        </w:rPr>
        <w:t xml:space="preserve">gender interactions. Forming such relations </w:t>
      </w:r>
      <w:r w:rsidR="00B53F1B" w:rsidRPr="0068442A">
        <w:rPr>
          <w:rStyle w:val="fontbold"/>
          <w:rFonts w:ascii="Times New Roman" w:hAnsi="Times New Roman" w:cs="Times New Roman"/>
        </w:rPr>
        <w:t>is</w:t>
      </w:r>
      <w:r w:rsidR="00355C0D" w:rsidRPr="0068442A">
        <w:rPr>
          <w:rStyle w:val="fontbold"/>
          <w:rFonts w:ascii="Times New Roman" w:hAnsi="Times New Roman" w:cs="Times New Roman"/>
        </w:rPr>
        <w:t xml:space="preserve"> </w:t>
      </w:r>
      <w:r w:rsidR="007272DD" w:rsidRPr="0068442A">
        <w:rPr>
          <w:rStyle w:val="fontbold"/>
          <w:rFonts w:ascii="Times New Roman" w:hAnsi="Times New Roman" w:cs="Times New Roman"/>
        </w:rPr>
        <w:t xml:space="preserve">very </w:t>
      </w:r>
      <w:r w:rsidRPr="0068442A">
        <w:rPr>
          <w:rStyle w:val="fontbold"/>
          <w:rFonts w:ascii="Times New Roman" w:hAnsi="Times New Roman" w:cs="Times New Roman"/>
        </w:rPr>
        <w:t xml:space="preserve">important for girls raised </w:t>
      </w:r>
      <w:r w:rsidR="00355C0D" w:rsidRPr="0068442A">
        <w:rPr>
          <w:rStyle w:val="fontbold"/>
          <w:rFonts w:ascii="Times New Roman" w:hAnsi="Times New Roman" w:cs="Times New Roman"/>
        </w:rPr>
        <w:t>in patriarchal cultures</w:t>
      </w:r>
      <w:r w:rsidR="00620CC4" w:rsidRPr="0068442A">
        <w:rPr>
          <w:rStyle w:val="fontbold"/>
          <w:rFonts w:ascii="Times New Roman" w:hAnsi="Times New Roman" w:cs="Times New Roman"/>
        </w:rPr>
        <w:t xml:space="preserve"> because </w:t>
      </w:r>
      <w:r w:rsidR="00B53F1B" w:rsidRPr="0068442A">
        <w:rPr>
          <w:rStyle w:val="fontbold"/>
          <w:rFonts w:ascii="Times New Roman" w:hAnsi="Times New Roman" w:cs="Times New Roman"/>
        </w:rPr>
        <w:t>it can help</w:t>
      </w:r>
      <w:r w:rsidR="00355C0D" w:rsidRPr="0068442A">
        <w:rPr>
          <w:rStyle w:val="fontbold"/>
          <w:rFonts w:ascii="Times New Roman" w:hAnsi="Times New Roman" w:cs="Times New Roman"/>
        </w:rPr>
        <w:t xml:space="preserve"> to dismantle the gender codes that place them </w:t>
      </w:r>
      <w:r w:rsidR="00B53F1B" w:rsidRPr="0068442A">
        <w:rPr>
          <w:rStyle w:val="fontbold"/>
          <w:rFonts w:ascii="Times New Roman" w:hAnsi="Times New Roman" w:cs="Times New Roman"/>
        </w:rPr>
        <w:t xml:space="preserve">as </w:t>
      </w:r>
      <w:r w:rsidR="00355C0D" w:rsidRPr="0068442A">
        <w:rPr>
          <w:rStyle w:val="fontbold"/>
          <w:rFonts w:ascii="Times New Roman" w:hAnsi="Times New Roman" w:cs="Times New Roman"/>
        </w:rPr>
        <w:t>second-class citizens in comparison to men</w:t>
      </w:r>
      <w:r w:rsidR="00B53F1B" w:rsidRPr="0068442A">
        <w:rPr>
          <w:rStyle w:val="fontbold"/>
          <w:rFonts w:ascii="Times New Roman" w:hAnsi="Times New Roman" w:cs="Times New Roman"/>
        </w:rPr>
        <w:t>,</w:t>
      </w:r>
      <w:r w:rsidRPr="0068442A">
        <w:rPr>
          <w:rStyle w:val="fontbold"/>
          <w:rFonts w:ascii="Times New Roman" w:hAnsi="Times New Roman" w:cs="Times New Roman"/>
        </w:rPr>
        <w:t xml:space="preserve"> </w:t>
      </w:r>
      <w:r w:rsidR="00620CC4" w:rsidRPr="0068442A">
        <w:rPr>
          <w:rStyle w:val="fontbold"/>
          <w:rFonts w:ascii="Times New Roman" w:hAnsi="Times New Roman" w:cs="Times New Roman"/>
        </w:rPr>
        <w:t>and provide a transformative</w:t>
      </w:r>
      <w:r w:rsidR="00355C0D" w:rsidRPr="0068442A">
        <w:rPr>
          <w:rStyle w:val="fontbold"/>
          <w:rFonts w:ascii="Times New Roman" w:hAnsi="Times New Roman" w:cs="Times New Roman"/>
        </w:rPr>
        <w:t xml:space="preserve"> space to appear </w:t>
      </w:r>
      <w:r w:rsidR="006241A7" w:rsidRPr="0068442A">
        <w:rPr>
          <w:rStyle w:val="fontbold"/>
          <w:rFonts w:ascii="Times New Roman" w:hAnsi="Times New Roman" w:cs="Times New Roman"/>
        </w:rPr>
        <w:t xml:space="preserve">with boys </w:t>
      </w:r>
      <w:r w:rsidR="00355C0D" w:rsidRPr="0068442A">
        <w:rPr>
          <w:rStyle w:val="fontbold"/>
          <w:rFonts w:ascii="Times New Roman" w:hAnsi="Times New Roman" w:cs="Times New Roman"/>
        </w:rPr>
        <w:t>without shame in a public setting</w:t>
      </w:r>
      <w:r w:rsidR="001B20E5" w:rsidRPr="0068442A">
        <w:rPr>
          <w:rStyle w:val="fontbold"/>
          <w:rFonts w:ascii="Times New Roman" w:hAnsi="Times New Roman" w:cs="Times New Roman"/>
        </w:rPr>
        <w:t>,</w:t>
      </w:r>
      <w:r w:rsidR="00355C0D" w:rsidRPr="0068442A">
        <w:rPr>
          <w:rStyle w:val="fontbold"/>
          <w:rFonts w:ascii="Times New Roman" w:hAnsi="Times New Roman" w:cs="Times New Roman"/>
        </w:rPr>
        <w:t xml:space="preserve"> like school:</w:t>
      </w:r>
    </w:p>
    <w:p w14:paraId="05467B14" w14:textId="2D60E5B7" w:rsidR="00355C0D" w:rsidRPr="0068442A" w:rsidRDefault="00355C0D" w:rsidP="00BF1E10">
      <w:pPr>
        <w:spacing w:line="360" w:lineRule="auto"/>
        <w:ind w:left="720"/>
        <w:jc w:val="both"/>
        <w:rPr>
          <w:rStyle w:val="fontbold"/>
          <w:rFonts w:ascii="Times New Roman" w:hAnsi="Times New Roman" w:cs="Times New Roman"/>
        </w:rPr>
      </w:pPr>
      <w:r w:rsidRPr="0068442A">
        <w:rPr>
          <w:rStyle w:val="fontbold"/>
          <w:rFonts w:ascii="Times New Roman" w:hAnsi="Times New Roman" w:cs="Times New Roman"/>
        </w:rPr>
        <w:t xml:space="preserve">Our aim is to socialise the women. </w:t>
      </w:r>
      <w:r w:rsidR="001D3481" w:rsidRPr="0068442A">
        <w:rPr>
          <w:rStyle w:val="fontbold"/>
          <w:rFonts w:ascii="Times New Roman" w:hAnsi="Times New Roman" w:cs="Times New Roman"/>
        </w:rPr>
        <w:t>S</w:t>
      </w:r>
      <w:r w:rsidRPr="0068442A">
        <w:rPr>
          <w:rStyle w:val="fontbold"/>
          <w:rFonts w:ascii="Times New Roman" w:hAnsi="Times New Roman" w:cs="Times New Roman"/>
        </w:rPr>
        <w:t xml:space="preserve">ingle-sex education displays an understanding </w:t>
      </w:r>
      <w:r w:rsidR="001D3481" w:rsidRPr="0068442A">
        <w:rPr>
          <w:rStyle w:val="fontbold"/>
          <w:rFonts w:ascii="Times New Roman" w:hAnsi="Times New Roman" w:cs="Times New Roman"/>
        </w:rPr>
        <w:t xml:space="preserve">distant </w:t>
      </w:r>
      <w:r w:rsidRPr="0068442A">
        <w:rPr>
          <w:rStyle w:val="fontbold"/>
          <w:rFonts w:ascii="Times New Roman" w:hAnsi="Times New Roman" w:cs="Times New Roman"/>
        </w:rPr>
        <w:t xml:space="preserve">from secular education and promotes </w:t>
      </w:r>
      <w:r w:rsidR="00451335" w:rsidRPr="0068442A">
        <w:rPr>
          <w:rStyle w:val="fontbold"/>
          <w:rFonts w:ascii="Times New Roman" w:hAnsi="Times New Roman" w:cs="Times New Roman"/>
        </w:rPr>
        <w:t xml:space="preserve">a </w:t>
      </w:r>
      <w:r w:rsidRPr="0068442A">
        <w:rPr>
          <w:rStyle w:val="fontbold"/>
          <w:rFonts w:ascii="Times New Roman" w:hAnsi="Times New Roman" w:cs="Times New Roman"/>
        </w:rPr>
        <w:t xml:space="preserve">male-dominated </w:t>
      </w:r>
      <w:r w:rsidR="00451335" w:rsidRPr="0068442A">
        <w:rPr>
          <w:rStyle w:val="fontbold"/>
          <w:rFonts w:ascii="Times New Roman" w:hAnsi="Times New Roman" w:cs="Times New Roman"/>
        </w:rPr>
        <w:t>mind-set</w:t>
      </w:r>
      <w:r w:rsidRPr="0068442A">
        <w:rPr>
          <w:rStyle w:val="fontbold"/>
          <w:rFonts w:ascii="Times New Roman" w:hAnsi="Times New Roman" w:cs="Times New Roman"/>
        </w:rPr>
        <w:t xml:space="preserve"> that allows little freedom for girls and offers a social life only among themselves</w:t>
      </w:r>
      <w:r w:rsidR="00BB5A2D" w:rsidRPr="0068442A">
        <w:rPr>
          <w:rStyle w:val="fontbold"/>
          <w:rFonts w:ascii="Times New Roman" w:hAnsi="Times New Roman" w:cs="Times New Roman"/>
        </w:rPr>
        <w:t xml:space="preserve"> and</w:t>
      </w:r>
      <w:r w:rsidR="001D3481" w:rsidRPr="0068442A">
        <w:rPr>
          <w:rStyle w:val="fontbold"/>
          <w:rFonts w:ascii="Times New Roman" w:hAnsi="Times New Roman" w:cs="Times New Roman"/>
        </w:rPr>
        <w:t>,</w:t>
      </w:r>
      <w:r w:rsidR="00BB5A2D" w:rsidRPr="0068442A">
        <w:rPr>
          <w:rStyle w:val="fontbold"/>
          <w:rFonts w:ascii="Times New Roman" w:hAnsi="Times New Roman" w:cs="Times New Roman"/>
        </w:rPr>
        <w:t xml:space="preserve"> again</w:t>
      </w:r>
      <w:r w:rsidR="001D3481" w:rsidRPr="0068442A">
        <w:rPr>
          <w:rStyle w:val="fontbold"/>
          <w:rFonts w:ascii="Times New Roman" w:hAnsi="Times New Roman" w:cs="Times New Roman"/>
        </w:rPr>
        <w:t>,</w:t>
      </w:r>
      <w:r w:rsidR="00BB5A2D" w:rsidRPr="0068442A">
        <w:rPr>
          <w:rStyle w:val="fontbold"/>
          <w:rFonts w:ascii="Times New Roman" w:hAnsi="Times New Roman" w:cs="Times New Roman"/>
        </w:rPr>
        <w:t xml:space="preserve"> teaches them to adhere to oppression in the </w:t>
      </w:r>
      <w:r w:rsidR="001D3481" w:rsidRPr="0068442A">
        <w:rPr>
          <w:rStyle w:val="fontbold"/>
          <w:rFonts w:ascii="Times New Roman" w:hAnsi="Times New Roman" w:cs="Times New Roman"/>
        </w:rPr>
        <w:t xml:space="preserve">presence </w:t>
      </w:r>
      <w:r w:rsidR="00BB5A2D" w:rsidRPr="0068442A">
        <w:rPr>
          <w:rStyle w:val="fontbold"/>
          <w:rFonts w:ascii="Times New Roman" w:hAnsi="Times New Roman" w:cs="Times New Roman"/>
        </w:rPr>
        <w:t>of men</w:t>
      </w:r>
      <w:r w:rsidR="00862663" w:rsidRPr="0068442A">
        <w:rPr>
          <w:rStyle w:val="fontbold"/>
          <w:rFonts w:ascii="Times New Roman" w:hAnsi="Times New Roman" w:cs="Times New Roman"/>
        </w:rPr>
        <w:t xml:space="preserve"> (Seda, teacher)</w:t>
      </w:r>
      <w:r w:rsidR="000D3C19" w:rsidRPr="0068442A">
        <w:rPr>
          <w:rStyle w:val="fontbold"/>
          <w:rFonts w:ascii="Times New Roman" w:hAnsi="Times New Roman" w:cs="Times New Roman"/>
        </w:rPr>
        <w:t>.</w:t>
      </w:r>
    </w:p>
    <w:p w14:paraId="08843C35" w14:textId="6E37589B" w:rsidR="00355C0D" w:rsidRPr="0068442A" w:rsidRDefault="00BB5A2D" w:rsidP="00BF1E10">
      <w:pPr>
        <w:spacing w:line="360" w:lineRule="auto"/>
        <w:ind w:left="720"/>
        <w:jc w:val="both"/>
        <w:rPr>
          <w:rStyle w:val="fontbold"/>
          <w:rFonts w:ascii="Times New Roman" w:hAnsi="Times New Roman" w:cs="Times New Roman"/>
        </w:rPr>
      </w:pPr>
      <w:r w:rsidRPr="0068442A">
        <w:rPr>
          <w:rStyle w:val="fontbold"/>
          <w:rFonts w:ascii="Times New Roman" w:hAnsi="Times New Roman" w:cs="Times New Roman"/>
        </w:rPr>
        <w:lastRenderedPageBreak/>
        <w:t>These g</w:t>
      </w:r>
      <w:r w:rsidR="00355C0D" w:rsidRPr="0068442A">
        <w:rPr>
          <w:rStyle w:val="fontbold"/>
          <w:rFonts w:ascii="Times New Roman" w:hAnsi="Times New Roman" w:cs="Times New Roman"/>
        </w:rPr>
        <w:t>irls</w:t>
      </w:r>
      <w:r w:rsidRPr="0068442A">
        <w:rPr>
          <w:rStyle w:val="fontbold"/>
          <w:rFonts w:ascii="Times New Roman" w:hAnsi="Times New Roman" w:cs="Times New Roman"/>
        </w:rPr>
        <w:t xml:space="preserve"> </w:t>
      </w:r>
      <w:r w:rsidR="008D6B19">
        <w:rPr>
          <w:rStyle w:val="fontbold"/>
          <w:rFonts w:ascii="Times New Roman" w:hAnsi="Times New Roman" w:cs="Times New Roman"/>
        </w:rPr>
        <w:t>[</w:t>
      </w:r>
      <w:r w:rsidRPr="0068442A">
        <w:rPr>
          <w:rStyle w:val="fontbold"/>
          <w:rFonts w:ascii="Times New Roman" w:hAnsi="Times New Roman" w:cs="Times New Roman"/>
        </w:rPr>
        <w:t xml:space="preserve">girls </w:t>
      </w:r>
      <w:r w:rsidR="008D6B19">
        <w:rPr>
          <w:rStyle w:val="fontbold"/>
          <w:rFonts w:ascii="Times New Roman" w:hAnsi="Times New Roman" w:cs="Times New Roman"/>
        </w:rPr>
        <w:t>from a</w:t>
      </w:r>
      <w:r w:rsidR="008D6B19" w:rsidRPr="0068442A">
        <w:rPr>
          <w:rStyle w:val="fontbold"/>
          <w:rFonts w:ascii="Times New Roman" w:hAnsi="Times New Roman" w:cs="Times New Roman"/>
        </w:rPr>
        <w:t xml:space="preserve"> </w:t>
      </w:r>
      <w:r w:rsidRPr="0068442A">
        <w:rPr>
          <w:rStyle w:val="fontbold"/>
          <w:rFonts w:ascii="Times New Roman" w:hAnsi="Times New Roman" w:cs="Times New Roman"/>
        </w:rPr>
        <w:t>conservative background</w:t>
      </w:r>
      <w:r w:rsidR="008D6B19">
        <w:rPr>
          <w:rStyle w:val="fontbold"/>
          <w:rFonts w:ascii="Times New Roman" w:hAnsi="Times New Roman" w:cs="Times New Roman"/>
        </w:rPr>
        <w:t>]</w:t>
      </w:r>
      <w:r w:rsidR="00355C0D" w:rsidRPr="0068442A">
        <w:rPr>
          <w:rStyle w:val="fontbold"/>
          <w:rFonts w:ascii="Times New Roman" w:hAnsi="Times New Roman" w:cs="Times New Roman"/>
        </w:rPr>
        <w:t xml:space="preserve"> </w:t>
      </w:r>
      <w:r w:rsidR="00B066C3" w:rsidRPr="0068442A">
        <w:rPr>
          <w:rStyle w:val="fontbold"/>
          <w:rFonts w:ascii="Times New Roman" w:hAnsi="Times New Roman" w:cs="Times New Roman"/>
        </w:rPr>
        <w:t>do not</w:t>
      </w:r>
      <w:r w:rsidR="00355C0D" w:rsidRPr="0068442A">
        <w:rPr>
          <w:rStyle w:val="fontbold"/>
          <w:rFonts w:ascii="Times New Roman" w:hAnsi="Times New Roman" w:cs="Times New Roman"/>
        </w:rPr>
        <w:t xml:space="preserve"> learn to live in harmony with the opposite sex and </w:t>
      </w:r>
      <w:r w:rsidR="00B066C3" w:rsidRPr="0068442A">
        <w:rPr>
          <w:rStyle w:val="fontbold"/>
          <w:rFonts w:ascii="Times New Roman" w:hAnsi="Times New Roman" w:cs="Times New Roman"/>
        </w:rPr>
        <w:t>how to</w:t>
      </w:r>
      <w:r w:rsidR="00355C0D" w:rsidRPr="0068442A">
        <w:rPr>
          <w:rStyle w:val="fontbold"/>
          <w:rFonts w:ascii="Times New Roman" w:hAnsi="Times New Roman" w:cs="Times New Roman"/>
        </w:rPr>
        <w:t xml:space="preserve"> communicate and </w:t>
      </w:r>
      <w:r w:rsidR="00B066C3" w:rsidRPr="0068442A">
        <w:rPr>
          <w:rStyle w:val="fontbold"/>
          <w:rFonts w:ascii="Times New Roman" w:hAnsi="Times New Roman" w:cs="Times New Roman"/>
        </w:rPr>
        <w:t xml:space="preserve">interact with them </w:t>
      </w:r>
      <w:r w:rsidR="008D6B19">
        <w:rPr>
          <w:rStyle w:val="fontbold"/>
          <w:rFonts w:ascii="Times New Roman" w:hAnsi="Times New Roman" w:cs="Times New Roman"/>
        </w:rPr>
        <w:t>[</w:t>
      </w:r>
      <w:r w:rsidR="00355C0D" w:rsidRPr="0068442A">
        <w:rPr>
          <w:rStyle w:val="fontbold"/>
          <w:rFonts w:ascii="Times New Roman" w:hAnsi="Times New Roman" w:cs="Times New Roman"/>
        </w:rPr>
        <w:t>…</w:t>
      </w:r>
      <w:r w:rsidR="008D6B19">
        <w:rPr>
          <w:rStyle w:val="fontbold"/>
          <w:rFonts w:ascii="Times New Roman" w:hAnsi="Times New Roman" w:cs="Times New Roman"/>
        </w:rPr>
        <w:t>]</w:t>
      </w:r>
      <w:r w:rsidR="00355C0D" w:rsidRPr="0068442A">
        <w:rPr>
          <w:rStyle w:val="fontbold"/>
          <w:rFonts w:ascii="Times New Roman" w:hAnsi="Times New Roman" w:cs="Times New Roman"/>
        </w:rPr>
        <w:t xml:space="preserve"> if they are raised like this </w:t>
      </w:r>
      <w:r w:rsidR="008D6B19">
        <w:rPr>
          <w:rStyle w:val="fontbold"/>
          <w:rFonts w:ascii="Times New Roman" w:hAnsi="Times New Roman" w:cs="Times New Roman"/>
        </w:rPr>
        <w:t>[</w:t>
      </w:r>
      <w:r w:rsidR="00355C0D" w:rsidRPr="0068442A">
        <w:rPr>
          <w:rStyle w:val="fontbold"/>
          <w:rFonts w:ascii="Times New Roman" w:hAnsi="Times New Roman" w:cs="Times New Roman"/>
        </w:rPr>
        <w:t>in single</w:t>
      </w:r>
      <w:r w:rsidR="00E13B8A" w:rsidRPr="0068442A">
        <w:rPr>
          <w:rStyle w:val="fontbold"/>
          <w:rFonts w:ascii="Times New Roman" w:hAnsi="Times New Roman" w:cs="Times New Roman"/>
        </w:rPr>
        <w:t>-</w:t>
      </w:r>
      <w:r w:rsidR="00355C0D" w:rsidRPr="0068442A">
        <w:rPr>
          <w:rStyle w:val="fontbold"/>
          <w:rFonts w:ascii="Times New Roman" w:hAnsi="Times New Roman" w:cs="Times New Roman"/>
        </w:rPr>
        <w:t>sex schools</w:t>
      </w:r>
      <w:r w:rsidR="008D6B19">
        <w:rPr>
          <w:rStyle w:val="fontbold"/>
          <w:rFonts w:ascii="Times New Roman" w:hAnsi="Times New Roman" w:cs="Times New Roman"/>
        </w:rPr>
        <w:t>]</w:t>
      </w:r>
      <w:r w:rsidR="00355C0D" w:rsidRPr="0068442A">
        <w:rPr>
          <w:rStyle w:val="fontbold"/>
          <w:rFonts w:ascii="Times New Roman" w:hAnsi="Times New Roman" w:cs="Times New Roman"/>
        </w:rPr>
        <w:t>, how will they work with men</w:t>
      </w:r>
      <w:r w:rsidR="00E13B8A" w:rsidRPr="0068442A">
        <w:rPr>
          <w:rStyle w:val="fontbold"/>
          <w:rFonts w:ascii="Times New Roman" w:hAnsi="Times New Roman" w:cs="Times New Roman"/>
        </w:rPr>
        <w:t xml:space="preserve"> in the future</w:t>
      </w:r>
      <w:r w:rsidR="00355C0D" w:rsidRPr="0068442A">
        <w:rPr>
          <w:rStyle w:val="fontbold"/>
          <w:rFonts w:ascii="Times New Roman" w:hAnsi="Times New Roman" w:cs="Times New Roman"/>
        </w:rPr>
        <w:t>?</w:t>
      </w:r>
      <w:r w:rsidRPr="0068442A">
        <w:rPr>
          <w:rStyle w:val="fontbold"/>
          <w:rFonts w:ascii="Times New Roman" w:hAnsi="Times New Roman" w:cs="Times New Roman"/>
        </w:rPr>
        <w:t xml:space="preserve"> </w:t>
      </w:r>
      <w:r w:rsidR="00862663" w:rsidRPr="0068442A">
        <w:rPr>
          <w:rStyle w:val="fontbold"/>
          <w:rFonts w:ascii="Times New Roman" w:hAnsi="Times New Roman" w:cs="Times New Roman"/>
        </w:rPr>
        <w:t>(Melek, teacher)</w:t>
      </w:r>
      <w:r w:rsidR="000D3C19" w:rsidRPr="0068442A">
        <w:rPr>
          <w:rStyle w:val="fontbold"/>
          <w:rFonts w:ascii="Times New Roman" w:hAnsi="Times New Roman" w:cs="Times New Roman"/>
        </w:rPr>
        <w:t>.</w:t>
      </w:r>
    </w:p>
    <w:p w14:paraId="250CB7AA" w14:textId="7382D77C" w:rsidR="00BB5A2D" w:rsidRPr="0068442A" w:rsidRDefault="00355C0D" w:rsidP="00BF1E10">
      <w:pPr>
        <w:spacing w:line="360" w:lineRule="auto"/>
        <w:ind w:firstLine="720"/>
        <w:jc w:val="both"/>
        <w:rPr>
          <w:rStyle w:val="fontbold"/>
          <w:rFonts w:ascii="Times New Roman" w:hAnsi="Times New Roman" w:cs="Times New Roman"/>
        </w:rPr>
      </w:pPr>
      <w:r w:rsidRPr="0068442A">
        <w:rPr>
          <w:rStyle w:val="fontbold"/>
          <w:rFonts w:ascii="Times New Roman" w:hAnsi="Times New Roman" w:cs="Times New Roman"/>
        </w:rPr>
        <w:t>The point made here by teachers was that single-sex education</w:t>
      </w:r>
      <w:r w:rsidR="00C963BA" w:rsidRPr="0068442A">
        <w:rPr>
          <w:rStyle w:val="fontbold"/>
          <w:rFonts w:ascii="Times New Roman" w:hAnsi="Times New Roman" w:cs="Times New Roman"/>
        </w:rPr>
        <w:t>,</w:t>
      </w:r>
      <w:r w:rsidRPr="0068442A">
        <w:rPr>
          <w:rStyle w:val="fontbold"/>
          <w:rFonts w:ascii="Times New Roman" w:hAnsi="Times New Roman" w:cs="Times New Roman"/>
        </w:rPr>
        <w:t xml:space="preserve"> </w:t>
      </w:r>
      <w:r w:rsidR="00BB5A2D" w:rsidRPr="0068442A">
        <w:rPr>
          <w:rStyle w:val="fontbold"/>
          <w:rFonts w:ascii="Times New Roman" w:hAnsi="Times New Roman" w:cs="Times New Roman"/>
        </w:rPr>
        <w:t xml:space="preserve">particularly in </w:t>
      </w:r>
      <w:r w:rsidR="00B066C3" w:rsidRPr="0068442A">
        <w:rPr>
          <w:rStyle w:val="fontbold"/>
          <w:rFonts w:ascii="Times New Roman" w:hAnsi="Times New Roman" w:cs="Times New Roman"/>
        </w:rPr>
        <w:t>patriarchal</w:t>
      </w:r>
      <w:r w:rsidR="00BB5A2D" w:rsidRPr="0068442A">
        <w:rPr>
          <w:rStyle w:val="fontbold"/>
          <w:rFonts w:ascii="Times New Roman" w:hAnsi="Times New Roman" w:cs="Times New Roman"/>
        </w:rPr>
        <w:t xml:space="preserve"> contexts where gender norms and gender based discrimination </w:t>
      </w:r>
      <w:r w:rsidR="00C97540" w:rsidRPr="0068442A">
        <w:rPr>
          <w:rStyle w:val="fontbold"/>
          <w:rFonts w:ascii="Times New Roman" w:hAnsi="Times New Roman" w:cs="Times New Roman"/>
        </w:rPr>
        <w:t xml:space="preserve">are </w:t>
      </w:r>
      <w:r w:rsidR="00BB5A2D" w:rsidRPr="0068442A">
        <w:rPr>
          <w:rStyle w:val="fontbold"/>
          <w:rFonts w:ascii="Times New Roman" w:hAnsi="Times New Roman" w:cs="Times New Roman"/>
        </w:rPr>
        <w:t>inherent</w:t>
      </w:r>
      <w:r w:rsidR="00127847" w:rsidRPr="0068442A">
        <w:rPr>
          <w:rStyle w:val="fontbold"/>
          <w:rFonts w:ascii="Times New Roman" w:hAnsi="Times New Roman" w:cs="Times New Roman"/>
        </w:rPr>
        <w:t>,</w:t>
      </w:r>
      <w:r w:rsidR="00C963BA" w:rsidRPr="0068442A">
        <w:rPr>
          <w:rStyle w:val="fontbold"/>
          <w:rFonts w:ascii="Times New Roman" w:hAnsi="Times New Roman" w:cs="Times New Roman"/>
        </w:rPr>
        <w:t xml:space="preserve"> </w:t>
      </w:r>
      <w:r w:rsidR="00127847" w:rsidRPr="0068442A">
        <w:rPr>
          <w:rStyle w:val="fontbold"/>
          <w:rFonts w:ascii="Times New Roman" w:hAnsi="Times New Roman" w:cs="Times New Roman"/>
        </w:rPr>
        <w:t>inhibits</w:t>
      </w:r>
      <w:r w:rsidRPr="0068442A">
        <w:rPr>
          <w:rStyle w:val="fontbold"/>
          <w:rFonts w:ascii="Times New Roman" w:hAnsi="Times New Roman" w:cs="Times New Roman"/>
        </w:rPr>
        <w:t xml:space="preserve"> girls’ social capabilities </w:t>
      </w:r>
      <w:r w:rsidR="00C97540" w:rsidRPr="0068442A">
        <w:rPr>
          <w:rStyle w:val="fontbold"/>
          <w:rFonts w:ascii="Times New Roman" w:hAnsi="Times New Roman" w:cs="Times New Roman"/>
        </w:rPr>
        <w:t xml:space="preserve">to </w:t>
      </w:r>
      <w:r w:rsidR="00BB5A2D" w:rsidRPr="0068442A">
        <w:rPr>
          <w:rStyle w:val="fontbold"/>
          <w:rFonts w:ascii="Times New Roman" w:hAnsi="Times New Roman" w:cs="Times New Roman"/>
        </w:rPr>
        <w:t>establish</w:t>
      </w:r>
      <w:r w:rsidR="00C97540" w:rsidRPr="0068442A">
        <w:rPr>
          <w:rStyle w:val="fontbold"/>
          <w:rFonts w:ascii="Times New Roman" w:hAnsi="Times New Roman" w:cs="Times New Roman"/>
        </w:rPr>
        <w:t xml:space="preserve"> </w:t>
      </w:r>
      <w:r w:rsidR="00BB5A2D" w:rsidRPr="0068442A">
        <w:rPr>
          <w:rStyle w:val="fontbold"/>
          <w:rFonts w:ascii="Times New Roman" w:hAnsi="Times New Roman" w:cs="Times New Roman"/>
        </w:rPr>
        <w:t>relations with the opposite sex, speak back</w:t>
      </w:r>
      <w:r w:rsidR="00B14B5C" w:rsidRPr="0068442A">
        <w:rPr>
          <w:rStyle w:val="fontbold"/>
          <w:rFonts w:ascii="Times New Roman" w:hAnsi="Times New Roman" w:cs="Times New Roman"/>
        </w:rPr>
        <w:t>,</w:t>
      </w:r>
      <w:r w:rsidR="00BB5A2D" w:rsidRPr="0068442A">
        <w:rPr>
          <w:rStyle w:val="fontbold"/>
          <w:rFonts w:ascii="Times New Roman" w:hAnsi="Times New Roman" w:cs="Times New Roman"/>
        </w:rPr>
        <w:t xml:space="preserve"> and </w:t>
      </w:r>
      <w:r w:rsidR="00B14B5C" w:rsidRPr="0068442A">
        <w:rPr>
          <w:rStyle w:val="fontbold"/>
          <w:rFonts w:ascii="Times New Roman" w:hAnsi="Times New Roman" w:cs="Times New Roman"/>
        </w:rPr>
        <w:t xml:space="preserve">voice </w:t>
      </w:r>
      <w:r w:rsidR="00BB5A2D" w:rsidRPr="0068442A">
        <w:rPr>
          <w:rStyle w:val="fontbold"/>
          <w:rFonts w:ascii="Times New Roman" w:hAnsi="Times New Roman" w:cs="Times New Roman"/>
        </w:rPr>
        <w:t>their ideas in mix</w:t>
      </w:r>
      <w:r w:rsidR="00C963BA" w:rsidRPr="0068442A">
        <w:rPr>
          <w:rStyle w:val="fontbold"/>
          <w:rFonts w:ascii="Times New Roman" w:hAnsi="Times New Roman" w:cs="Times New Roman"/>
        </w:rPr>
        <w:t>ed</w:t>
      </w:r>
      <w:r w:rsidR="00BB5A2D" w:rsidRPr="0068442A">
        <w:rPr>
          <w:rStyle w:val="fontbold"/>
          <w:rFonts w:ascii="Times New Roman" w:hAnsi="Times New Roman" w:cs="Times New Roman"/>
        </w:rPr>
        <w:t>-gender environments</w:t>
      </w:r>
      <w:r w:rsidR="00C963BA" w:rsidRPr="0068442A">
        <w:rPr>
          <w:rStyle w:val="fontbold"/>
          <w:rFonts w:ascii="Times New Roman" w:hAnsi="Times New Roman" w:cs="Times New Roman"/>
        </w:rPr>
        <w:t>.</w:t>
      </w:r>
      <w:r w:rsidR="00BB5A2D" w:rsidRPr="0068442A">
        <w:rPr>
          <w:rStyle w:val="fontbold"/>
          <w:rFonts w:ascii="Times New Roman" w:hAnsi="Times New Roman" w:cs="Times New Roman"/>
        </w:rPr>
        <w:t xml:space="preserve"> </w:t>
      </w:r>
      <w:r w:rsidR="00C963BA" w:rsidRPr="0068442A">
        <w:rPr>
          <w:rStyle w:val="fontbold"/>
          <w:rFonts w:ascii="Times New Roman" w:hAnsi="Times New Roman" w:cs="Times New Roman"/>
        </w:rPr>
        <w:t xml:space="preserve">It </w:t>
      </w:r>
      <w:r w:rsidR="00BB5A2D" w:rsidRPr="0068442A">
        <w:rPr>
          <w:rStyle w:val="fontbold"/>
          <w:rFonts w:ascii="Times New Roman" w:hAnsi="Times New Roman" w:cs="Times New Roman"/>
        </w:rPr>
        <w:t xml:space="preserve">also deprives them of a schooling process </w:t>
      </w:r>
      <w:r w:rsidR="00C963BA" w:rsidRPr="0068442A">
        <w:rPr>
          <w:rStyle w:val="fontbold"/>
          <w:rFonts w:ascii="Times New Roman" w:hAnsi="Times New Roman" w:cs="Times New Roman"/>
        </w:rPr>
        <w:t xml:space="preserve">that </w:t>
      </w:r>
      <w:r w:rsidRPr="0068442A">
        <w:rPr>
          <w:rStyle w:val="fontbold"/>
          <w:rFonts w:ascii="Times New Roman" w:hAnsi="Times New Roman" w:cs="Times New Roman"/>
        </w:rPr>
        <w:t>could spark a process of recognition</w:t>
      </w:r>
      <w:r w:rsidR="00BB5A2D" w:rsidRPr="0068442A">
        <w:rPr>
          <w:rStyle w:val="fontbold"/>
          <w:rFonts w:ascii="Times New Roman" w:hAnsi="Times New Roman" w:cs="Times New Roman"/>
        </w:rPr>
        <w:t xml:space="preserve"> that girls could be on </w:t>
      </w:r>
      <w:r w:rsidR="00E02F18" w:rsidRPr="0068442A">
        <w:rPr>
          <w:rStyle w:val="fontbold"/>
          <w:rFonts w:ascii="Times New Roman" w:hAnsi="Times New Roman" w:cs="Times New Roman"/>
        </w:rPr>
        <w:t>par</w:t>
      </w:r>
      <w:r w:rsidR="006241A7" w:rsidRPr="0068442A">
        <w:rPr>
          <w:rStyle w:val="fontbold"/>
          <w:rFonts w:ascii="Times New Roman" w:hAnsi="Times New Roman" w:cs="Times New Roman"/>
        </w:rPr>
        <w:t xml:space="preserve"> with boys, </w:t>
      </w:r>
      <w:r w:rsidR="00D12F2F" w:rsidRPr="0068442A">
        <w:rPr>
          <w:rStyle w:val="fontbold"/>
          <w:rFonts w:ascii="Times New Roman" w:hAnsi="Times New Roman" w:cs="Times New Roman"/>
        </w:rPr>
        <w:t>thus contributing</w:t>
      </w:r>
      <w:r w:rsidR="006241A7" w:rsidRPr="0068442A">
        <w:rPr>
          <w:rStyle w:val="fontbold"/>
          <w:rFonts w:ascii="Times New Roman" w:hAnsi="Times New Roman" w:cs="Times New Roman"/>
        </w:rPr>
        <w:t xml:space="preserve"> </w:t>
      </w:r>
      <w:r w:rsidR="00BB5A2D" w:rsidRPr="0068442A">
        <w:rPr>
          <w:rStyle w:val="fontbold"/>
          <w:rFonts w:ascii="Times New Roman" w:hAnsi="Times New Roman" w:cs="Times New Roman"/>
        </w:rPr>
        <w:t xml:space="preserve">to </w:t>
      </w:r>
      <w:r w:rsidR="007C0920" w:rsidRPr="0068442A">
        <w:rPr>
          <w:rStyle w:val="fontbold"/>
          <w:rFonts w:ascii="Times New Roman" w:hAnsi="Times New Roman" w:cs="Times New Roman"/>
        </w:rPr>
        <w:t xml:space="preserve">the </w:t>
      </w:r>
      <w:r w:rsidR="00BB5A2D" w:rsidRPr="0068442A">
        <w:rPr>
          <w:rStyle w:val="fontbold"/>
          <w:rFonts w:ascii="Times New Roman" w:hAnsi="Times New Roman" w:cs="Times New Roman"/>
        </w:rPr>
        <w:t xml:space="preserve">production of submissive gender identities </w:t>
      </w:r>
      <w:r w:rsidR="00C963BA" w:rsidRPr="0068442A">
        <w:rPr>
          <w:rStyle w:val="fontbold"/>
          <w:rFonts w:ascii="Times New Roman" w:hAnsi="Times New Roman" w:cs="Times New Roman"/>
        </w:rPr>
        <w:t xml:space="preserve">and girls who </w:t>
      </w:r>
      <w:r w:rsidR="00BB5A2D" w:rsidRPr="0068442A">
        <w:rPr>
          <w:rStyle w:val="fontbold"/>
          <w:rFonts w:ascii="Times New Roman" w:hAnsi="Times New Roman" w:cs="Times New Roman"/>
        </w:rPr>
        <w:t>internalise the</w:t>
      </w:r>
      <w:r w:rsidR="00C97540" w:rsidRPr="0068442A">
        <w:rPr>
          <w:rStyle w:val="fontbold"/>
          <w:rFonts w:ascii="Times New Roman" w:hAnsi="Times New Roman" w:cs="Times New Roman"/>
        </w:rPr>
        <w:t>se</w:t>
      </w:r>
      <w:r w:rsidR="00BB5A2D" w:rsidRPr="0068442A">
        <w:rPr>
          <w:rStyle w:val="fontbold"/>
          <w:rFonts w:ascii="Times New Roman" w:hAnsi="Times New Roman" w:cs="Times New Roman"/>
        </w:rPr>
        <w:t xml:space="preserve"> gender inequalities in their subsequent lives. </w:t>
      </w:r>
    </w:p>
    <w:p w14:paraId="2642D143" w14:textId="3C671B7D" w:rsidR="00BB5A2D" w:rsidRPr="0068442A" w:rsidRDefault="006241A7" w:rsidP="00BF1E10">
      <w:pPr>
        <w:spacing w:line="360" w:lineRule="auto"/>
        <w:jc w:val="both"/>
        <w:rPr>
          <w:rStyle w:val="fontbold"/>
          <w:rFonts w:ascii="Times New Roman" w:hAnsi="Times New Roman" w:cs="Times New Roman"/>
          <w:i/>
        </w:rPr>
      </w:pPr>
      <w:r w:rsidRPr="0068442A">
        <w:rPr>
          <w:rStyle w:val="fontbold"/>
          <w:rFonts w:ascii="Times New Roman" w:hAnsi="Times New Roman" w:cs="Times New Roman"/>
          <w:i/>
        </w:rPr>
        <w:t>Restricting</w:t>
      </w:r>
      <w:r w:rsidR="00920F6C" w:rsidRPr="0068442A">
        <w:rPr>
          <w:rStyle w:val="fontbold"/>
          <w:rFonts w:ascii="Times New Roman" w:hAnsi="Times New Roman" w:cs="Times New Roman"/>
          <w:i/>
        </w:rPr>
        <w:t xml:space="preserve"> Girls’ I</w:t>
      </w:r>
      <w:r w:rsidR="00B066C3" w:rsidRPr="0068442A">
        <w:rPr>
          <w:rStyle w:val="fontbold"/>
          <w:rFonts w:ascii="Times New Roman" w:hAnsi="Times New Roman" w:cs="Times New Roman"/>
          <w:i/>
        </w:rPr>
        <w:t>n</w:t>
      </w:r>
      <w:r w:rsidR="00920F6C" w:rsidRPr="0068442A">
        <w:rPr>
          <w:rStyle w:val="fontbold"/>
          <w:rFonts w:ascii="Times New Roman" w:hAnsi="Times New Roman" w:cs="Times New Roman"/>
          <w:i/>
        </w:rPr>
        <w:t>tellectual C</w:t>
      </w:r>
      <w:r w:rsidR="00B066C3" w:rsidRPr="0068442A">
        <w:rPr>
          <w:rStyle w:val="fontbold"/>
          <w:rFonts w:ascii="Times New Roman" w:hAnsi="Times New Roman" w:cs="Times New Roman"/>
          <w:i/>
        </w:rPr>
        <w:t>apabilities</w:t>
      </w:r>
    </w:p>
    <w:p w14:paraId="1532A6C6" w14:textId="5DA82E38" w:rsidR="00B066C3" w:rsidRPr="0068442A" w:rsidRDefault="00B066C3" w:rsidP="00BF1E10">
      <w:pPr>
        <w:spacing w:line="360" w:lineRule="auto"/>
        <w:jc w:val="both"/>
        <w:rPr>
          <w:rStyle w:val="fontbold"/>
          <w:rFonts w:ascii="Times New Roman" w:hAnsi="Times New Roman" w:cs="Times New Roman"/>
        </w:rPr>
      </w:pPr>
      <w:r w:rsidRPr="0068442A">
        <w:rPr>
          <w:rStyle w:val="fontbold"/>
          <w:rFonts w:ascii="Times New Roman" w:hAnsi="Times New Roman" w:cs="Times New Roman"/>
        </w:rPr>
        <w:t xml:space="preserve">The reform also paved the way for open education after primary school, </w:t>
      </w:r>
      <w:r w:rsidR="0018491B" w:rsidRPr="0068442A">
        <w:rPr>
          <w:rStyle w:val="fontbold"/>
          <w:rFonts w:ascii="Times New Roman" w:hAnsi="Times New Roman" w:cs="Times New Roman"/>
        </w:rPr>
        <w:t>meaning that</w:t>
      </w:r>
      <w:r w:rsidRPr="0068442A">
        <w:rPr>
          <w:rStyle w:val="fontbold"/>
          <w:rFonts w:ascii="Times New Roman" w:hAnsi="Times New Roman" w:cs="Times New Roman"/>
        </w:rPr>
        <w:t xml:space="preserve"> upon completing the first four years, children may choose to further their education through open education without physically attending school</w:t>
      </w:r>
      <w:r w:rsidR="00F9496F" w:rsidRPr="0068442A">
        <w:rPr>
          <w:rStyle w:val="fontbold"/>
          <w:rFonts w:ascii="Times New Roman" w:hAnsi="Times New Roman" w:cs="Times New Roman"/>
        </w:rPr>
        <w:t>,</w:t>
      </w:r>
      <w:r w:rsidRPr="0068442A">
        <w:rPr>
          <w:rStyle w:val="fontbold"/>
          <w:rFonts w:ascii="Times New Roman" w:hAnsi="Times New Roman" w:cs="Times New Roman"/>
        </w:rPr>
        <w:t xml:space="preserve"> but just sitting for exams.</w:t>
      </w:r>
    </w:p>
    <w:p w14:paraId="0F91CF10" w14:textId="454A5573" w:rsidR="00EB3CEC" w:rsidRPr="0068442A" w:rsidRDefault="00B066C3" w:rsidP="00BF1E10">
      <w:pPr>
        <w:spacing w:line="360" w:lineRule="auto"/>
        <w:ind w:left="720"/>
        <w:jc w:val="both"/>
        <w:rPr>
          <w:rStyle w:val="fontbold"/>
          <w:rFonts w:ascii="Times New Roman" w:hAnsi="Times New Roman" w:cs="Times New Roman"/>
        </w:rPr>
      </w:pPr>
      <w:r w:rsidRPr="0068442A">
        <w:rPr>
          <w:rStyle w:val="fontbold"/>
          <w:rFonts w:ascii="Times New Roman" w:hAnsi="Times New Roman" w:cs="Times New Roman"/>
        </w:rPr>
        <w:t>Parents can choose not to send their daughters after primary schools and there ha</w:t>
      </w:r>
      <w:r w:rsidR="00D92DE3" w:rsidRPr="0068442A">
        <w:rPr>
          <w:rStyle w:val="fontbold"/>
          <w:rFonts w:ascii="Times New Roman" w:hAnsi="Times New Roman" w:cs="Times New Roman"/>
        </w:rPr>
        <w:t>ve</w:t>
      </w:r>
      <w:r w:rsidRPr="0068442A">
        <w:rPr>
          <w:rStyle w:val="fontbold"/>
          <w:rFonts w:ascii="Times New Roman" w:hAnsi="Times New Roman" w:cs="Times New Roman"/>
        </w:rPr>
        <w:t xml:space="preserve"> been cases like this</w:t>
      </w:r>
      <w:r w:rsidR="00F9496F" w:rsidRPr="0068442A">
        <w:rPr>
          <w:rStyle w:val="fontbold"/>
          <w:rFonts w:ascii="Times New Roman" w:hAnsi="Times New Roman" w:cs="Times New Roman"/>
        </w:rPr>
        <w:t>;</w:t>
      </w:r>
      <w:r w:rsidRPr="0068442A">
        <w:rPr>
          <w:rStyle w:val="fontbold"/>
          <w:rFonts w:ascii="Times New Roman" w:hAnsi="Times New Roman" w:cs="Times New Roman"/>
        </w:rPr>
        <w:t xml:space="preserve"> they </w:t>
      </w:r>
      <w:r w:rsidR="00F9496F" w:rsidRPr="0068442A">
        <w:rPr>
          <w:rStyle w:val="fontbold"/>
          <w:rFonts w:ascii="Times New Roman" w:hAnsi="Times New Roman" w:cs="Times New Roman"/>
        </w:rPr>
        <w:t xml:space="preserve">marry </w:t>
      </w:r>
      <w:r w:rsidRPr="0068442A">
        <w:rPr>
          <w:rStyle w:val="fontbold"/>
          <w:rFonts w:ascii="Times New Roman" w:hAnsi="Times New Roman" w:cs="Times New Roman"/>
        </w:rPr>
        <w:t>girls of</w:t>
      </w:r>
      <w:r w:rsidR="00C97540" w:rsidRPr="0068442A">
        <w:rPr>
          <w:rStyle w:val="fontbold"/>
          <w:rFonts w:ascii="Times New Roman" w:hAnsi="Times New Roman" w:cs="Times New Roman"/>
        </w:rPr>
        <w:t>f</w:t>
      </w:r>
      <w:r w:rsidRPr="0068442A">
        <w:rPr>
          <w:rStyle w:val="fontbold"/>
          <w:rFonts w:ascii="Times New Roman" w:hAnsi="Times New Roman" w:cs="Times New Roman"/>
        </w:rPr>
        <w:t xml:space="preserve"> (by unofficial imam marriage) and get them registered in open education. How can a girl in open education achieve </w:t>
      </w:r>
      <w:r w:rsidR="00B555A9" w:rsidRPr="0068442A">
        <w:rPr>
          <w:rStyle w:val="fontbold"/>
          <w:rFonts w:ascii="Times New Roman" w:hAnsi="Times New Roman" w:cs="Times New Roman"/>
        </w:rPr>
        <w:t xml:space="preserve">the same as </w:t>
      </w:r>
      <w:r w:rsidRPr="0068442A">
        <w:rPr>
          <w:rStyle w:val="fontbold"/>
          <w:rFonts w:ascii="Times New Roman" w:hAnsi="Times New Roman" w:cs="Times New Roman"/>
        </w:rPr>
        <w:t>one in formal education and f</w:t>
      </w:r>
      <w:r w:rsidR="006241A7" w:rsidRPr="0068442A">
        <w:rPr>
          <w:rStyle w:val="fontbold"/>
          <w:rFonts w:ascii="Times New Roman" w:hAnsi="Times New Roman" w:cs="Times New Roman"/>
        </w:rPr>
        <w:t>urther her education? It</w:t>
      </w:r>
      <w:r w:rsidRPr="0068442A">
        <w:rPr>
          <w:rStyle w:val="fontbold"/>
          <w:rFonts w:ascii="Times New Roman" w:hAnsi="Times New Roman" w:cs="Times New Roman"/>
        </w:rPr>
        <w:t xml:space="preserve"> </w:t>
      </w:r>
      <w:r w:rsidR="00455980" w:rsidRPr="0068442A">
        <w:rPr>
          <w:rStyle w:val="fontbold"/>
          <w:rFonts w:ascii="Times New Roman" w:hAnsi="Times New Roman" w:cs="Times New Roman"/>
        </w:rPr>
        <w:t xml:space="preserve">cuts the </w:t>
      </w:r>
      <w:r w:rsidRPr="0068442A">
        <w:rPr>
          <w:rStyle w:val="fontbold"/>
          <w:rFonts w:ascii="Times New Roman" w:hAnsi="Times New Roman" w:cs="Times New Roman"/>
        </w:rPr>
        <w:t xml:space="preserve">girl out of school life and </w:t>
      </w:r>
      <w:r w:rsidR="00455980" w:rsidRPr="0068442A">
        <w:rPr>
          <w:rStyle w:val="fontbold"/>
          <w:rFonts w:ascii="Times New Roman" w:hAnsi="Times New Roman" w:cs="Times New Roman"/>
        </w:rPr>
        <w:t xml:space="preserve">deprives </w:t>
      </w:r>
      <w:r w:rsidRPr="0068442A">
        <w:rPr>
          <w:rStyle w:val="fontbold"/>
          <w:rFonts w:ascii="Times New Roman" w:hAnsi="Times New Roman" w:cs="Times New Roman"/>
        </w:rPr>
        <w:t xml:space="preserve">her of all the </w:t>
      </w:r>
      <w:r w:rsidR="00EB3CEC" w:rsidRPr="0068442A">
        <w:rPr>
          <w:rStyle w:val="fontbold"/>
          <w:rFonts w:ascii="Times New Roman" w:hAnsi="Times New Roman" w:cs="Times New Roman"/>
        </w:rPr>
        <w:t>social and</w:t>
      </w:r>
      <w:r w:rsidRPr="0068442A">
        <w:rPr>
          <w:rStyle w:val="fontbold"/>
          <w:rFonts w:ascii="Times New Roman" w:hAnsi="Times New Roman" w:cs="Times New Roman"/>
        </w:rPr>
        <w:t xml:space="preserve"> intellectual gains</w:t>
      </w:r>
      <w:r w:rsidR="00EB3CEC" w:rsidRPr="0068442A">
        <w:rPr>
          <w:rStyle w:val="fontbold"/>
          <w:rFonts w:ascii="Times New Roman" w:hAnsi="Times New Roman" w:cs="Times New Roman"/>
        </w:rPr>
        <w:t xml:space="preserve"> and life</w:t>
      </w:r>
      <w:r w:rsidRPr="0068442A">
        <w:rPr>
          <w:rStyle w:val="fontbold"/>
          <w:rFonts w:ascii="Times New Roman" w:hAnsi="Times New Roman" w:cs="Times New Roman"/>
        </w:rPr>
        <w:t xml:space="preserve"> she could have </w:t>
      </w:r>
      <w:r w:rsidR="00AB09EF" w:rsidRPr="0068442A">
        <w:rPr>
          <w:rStyle w:val="fontbold"/>
          <w:rFonts w:ascii="Times New Roman" w:hAnsi="Times New Roman" w:cs="Times New Roman"/>
        </w:rPr>
        <w:t>had</w:t>
      </w:r>
      <w:r w:rsidR="00E55987" w:rsidRPr="0068442A">
        <w:rPr>
          <w:rStyle w:val="fontbold"/>
          <w:rFonts w:ascii="Times New Roman" w:hAnsi="Times New Roman" w:cs="Times New Roman"/>
        </w:rPr>
        <w:t xml:space="preserve"> </w:t>
      </w:r>
      <w:r w:rsidR="00127847" w:rsidRPr="0068442A">
        <w:rPr>
          <w:rStyle w:val="fontbold"/>
          <w:rFonts w:ascii="Times New Roman" w:hAnsi="Times New Roman" w:cs="Times New Roman"/>
        </w:rPr>
        <w:t>(</w:t>
      </w:r>
      <w:r w:rsidR="00862663" w:rsidRPr="0068442A">
        <w:rPr>
          <w:rStyle w:val="fontbold"/>
          <w:rFonts w:ascii="Times New Roman" w:hAnsi="Times New Roman" w:cs="Times New Roman"/>
        </w:rPr>
        <w:t>Serdar, teacher</w:t>
      </w:r>
      <w:r w:rsidR="00127847" w:rsidRPr="0068442A">
        <w:rPr>
          <w:rStyle w:val="fontbold"/>
          <w:rFonts w:ascii="Times New Roman" w:hAnsi="Times New Roman" w:cs="Times New Roman"/>
        </w:rPr>
        <w:t>)</w:t>
      </w:r>
      <w:r w:rsidRPr="0068442A">
        <w:rPr>
          <w:rStyle w:val="fontbold"/>
          <w:rFonts w:ascii="Times New Roman" w:hAnsi="Times New Roman" w:cs="Times New Roman"/>
        </w:rPr>
        <w:t xml:space="preserve">. </w:t>
      </w:r>
    </w:p>
    <w:p w14:paraId="6C9DFB5B" w14:textId="5C4F1E6E" w:rsidR="00651919" w:rsidRPr="0068442A" w:rsidRDefault="00EB3CEC" w:rsidP="00B57EC0">
      <w:pPr>
        <w:spacing w:line="360" w:lineRule="auto"/>
        <w:ind w:firstLine="720"/>
        <w:jc w:val="both"/>
        <w:rPr>
          <w:rStyle w:val="fontbold"/>
          <w:rFonts w:ascii="Times New Roman" w:hAnsi="Times New Roman" w:cs="Times New Roman"/>
        </w:rPr>
      </w:pPr>
      <w:r w:rsidRPr="0068442A">
        <w:rPr>
          <w:rStyle w:val="fontbold"/>
          <w:rFonts w:ascii="Times New Roman" w:hAnsi="Times New Roman" w:cs="Times New Roman"/>
        </w:rPr>
        <w:t>The flexibility for open education, despite the increase in enrolment rates, works as a disadvantage for some girls and keeps them away from school</w:t>
      </w:r>
      <w:r w:rsidR="00D92DE3" w:rsidRPr="0068442A">
        <w:rPr>
          <w:rStyle w:val="fontbold"/>
          <w:rFonts w:ascii="Times New Roman" w:hAnsi="Times New Roman" w:cs="Times New Roman"/>
        </w:rPr>
        <w:t>, which in turn limits their</w:t>
      </w:r>
      <w:r w:rsidRPr="0068442A">
        <w:rPr>
          <w:rStyle w:val="fontbold"/>
          <w:rFonts w:ascii="Times New Roman" w:hAnsi="Times New Roman" w:cs="Times New Roman"/>
        </w:rPr>
        <w:t xml:space="preserve"> interaction with their peers</w:t>
      </w:r>
      <w:r w:rsidR="007E1528" w:rsidRPr="0068442A">
        <w:rPr>
          <w:rStyle w:val="fontbold"/>
          <w:rFonts w:ascii="Times New Roman" w:hAnsi="Times New Roman" w:cs="Times New Roman"/>
        </w:rPr>
        <w:t>,</w:t>
      </w:r>
      <w:r w:rsidR="00D92DE3" w:rsidRPr="0068442A">
        <w:rPr>
          <w:rStyle w:val="fontbold"/>
          <w:rFonts w:ascii="Times New Roman" w:hAnsi="Times New Roman" w:cs="Times New Roman"/>
        </w:rPr>
        <w:t xml:space="preserve"> </w:t>
      </w:r>
      <w:r w:rsidRPr="0068442A">
        <w:rPr>
          <w:rStyle w:val="fontbold"/>
          <w:rFonts w:ascii="Times New Roman" w:hAnsi="Times New Roman" w:cs="Times New Roman"/>
        </w:rPr>
        <w:t>teachers</w:t>
      </w:r>
      <w:r w:rsidR="007E1528" w:rsidRPr="0068442A">
        <w:rPr>
          <w:rStyle w:val="fontbold"/>
          <w:rFonts w:ascii="Times New Roman" w:hAnsi="Times New Roman" w:cs="Times New Roman"/>
        </w:rPr>
        <w:t>,</w:t>
      </w:r>
      <w:r w:rsidRPr="0068442A">
        <w:rPr>
          <w:rStyle w:val="fontbold"/>
          <w:rFonts w:ascii="Times New Roman" w:hAnsi="Times New Roman" w:cs="Times New Roman"/>
        </w:rPr>
        <w:t xml:space="preserve"> and social/intellectual facilities provided by school</w:t>
      </w:r>
      <w:r w:rsidR="007E1528" w:rsidRPr="0068442A">
        <w:rPr>
          <w:rStyle w:val="fontbold"/>
          <w:rFonts w:ascii="Times New Roman" w:hAnsi="Times New Roman" w:cs="Times New Roman"/>
        </w:rPr>
        <w:t>.</w:t>
      </w:r>
      <w:r w:rsidR="0066109E" w:rsidRPr="0068442A">
        <w:rPr>
          <w:rStyle w:val="fontbold"/>
          <w:rFonts w:ascii="Times New Roman" w:hAnsi="Times New Roman" w:cs="Times New Roman"/>
        </w:rPr>
        <w:t xml:space="preserve"> </w:t>
      </w:r>
      <w:r w:rsidR="00601F99" w:rsidRPr="0068442A">
        <w:rPr>
          <w:rStyle w:val="fontbold"/>
          <w:rFonts w:ascii="Times New Roman" w:hAnsi="Times New Roman" w:cs="Times New Roman"/>
        </w:rPr>
        <w:t>Socialising is also a chrysalis for democratic values as students get to meet other students who are like not like-minded and not of the same class and respect them rather than living in a nutshell</w:t>
      </w:r>
      <w:r w:rsidR="00B57EC0" w:rsidRPr="0068442A">
        <w:rPr>
          <w:rStyle w:val="fontbold"/>
          <w:rFonts w:ascii="Times New Roman" w:hAnsi="Times New Roman" w:cs="Times New Roman"/>
        </w:rPr>
        <w:t>. Therefore, such</w:t>
      </w:r>
      <w:r w:rsidR="007E1528" w:rsidRPr="0068442A">
        <w:rPr>
          <w:rStyle w:val="fontbold"/>
          <w:rFonts w:ascii="Times New Roman" w:hAnsi="Times New Roman" w:cs="Times New Roman"/>
        </w:rPr>
        <w:t xml:space="preserve"> interactions</w:t>
      </w:r>
      <w:r w:rsidRPr="0068442A">
        <w:rPr>
          <w:rStyle w:val="fontbold"/>
          <w:rFonts w:ascii="Times New Roman" w:hAnsi="Times New Roman" w:cs="Times New Roman"/>
        </w:rPr>
        <w:t xml:space="preserve"> could </w:t>
      </w:r>
      <w:r w:rsidR="00D92DE3" w:rsidRPr="0068442A">
        <w:rPr>
          <w:rStyle w:val="fontbold"/>
          <w:rFonts w:ascii="Times New Roman" w:hAnsi="Times New Roman" w:cs="Times New Roman"/>
        </w:rPr>
        <w:t>help</w:t>
      </w:r>
      <w:r w:rsidRPr="0068442A">
        <w:rPr>
          <w:rStyle w:val="fontbold"/>
          <w:rFonts w:ascii="Times New Roman" w:hAnsi="Times New Roman" w:cs="Times New Roman"/>
        </w:rPr>
        <w:t xml:space="preserve"> them develop </w:t>
      </w:r>
      <w:r w:rsidR="00D92DE3" w:rsidRPr="0068442A">
        <w:rPr>
          <w:rStyle w:val="fontbold"/>
          <w:rFonts w:ascii="Times New Roman" w:hAnsi="Times New Roman" w:cs="Times New Roman"/>
        </w:rPr>
        <w:t xml:space="preserve">the </w:t>
      </w:r>
      <w:r w:rsidRPr="0068442A">
        <w:rPr>
          <w:rStyle w:val="fontbold"/>
          <w:rFonts w:ascii="Times New Roman" w:hAnsi="Times New Roman" w:cs="Times New Roman"/>
        </w:rPr>
        <w:t xml:space="preserve">intellectual </w:t>
      </w:r>
      <w:r w:rsidR="0033771D" w:rsidRPr="0068442A">
        <w:rPr>
          <w:rStyle w:val="fontbold"/>
          <w:rFonts w:ascii="Times New Roman" w:hAnsi="Times New Roman" w:cs="Times New Roman"/>
        </w:rPr>
        <w:t>capability</w:t>
      </w:r>
      <w:r w:rsidRPr="0068442A">
        <w:rPr>
          <w:rStyle w:val="fontbold"/>
          <w:rFonts w:ascii="Times New Roman" w:hAnsi="Times New Roman" w:cs="Times New Roman"/>
        </w:rPr>
        <w:t xml:space="preserve"> of developing aspirations</w:t>
      </w:r>
      <w:r w:rsidR="00B57EC0" w:rsidRPr="0068442A">
        <w:rPr>
          <w:rStyle w:val="fontbold"/>
          <w:rFonts w:ascii="Times New Roman" w:hAnsi="Times New Roman" w:cs="Times New Roman"/>
        </w:rPr>
        <w:t>, expanding their horizon</w:t>
      </w:r>
      <w:r w:rsidR="007E1528" w:rsidRPr="0068442A">
        <w:rPr>
          <w:rStyle w:val="fontbold"/>
          <w:rFonts w:ascii="Times New Roman" w:hAnsi="Times New Roman" w:cs="Times New Roman"/>
        </w:rPr>
        <w:t xml:space="preserve"> and</w:t>
      </w:r>
      <w:r w:rsidRPr="0068442A">
        <w:rPr>
          <w:rStyle w:val="fontbold"/>
          <w:rFonts w:ascii="Times New Roman" w:hAnsi="Times New Roman" w:cs="Times New Roman"/>
        </w:rPr>
        <w:t xml:space="preserve"> gaining knowledge</w:t>
      </w:r>
      <w:r w:rsidR="007E1528" w:rsidRPr="0068442A">
        <w:rPr>
          <w:rStyle w:val="fontbold"/>
          <w:rFonts w:ascii="Times New Roman" w:hAnsi="Times New Roman" w:cs="Times New Roman"/>
        </w:rPr>
        <w:t xml:space="preserve"> and</w:t>
      </w:r>
      <w:r w:rsidRPr="0068442A">
        <w:rPr>
          <w:rStyle w:val="fontbold"/>
          <w:rFonts w:ascii="Times New Roman" w:hAnsi="Times New Roman" w:cs="Times New Roman"/>
        </w:rPr>
        <w:t xml:space="preserve"> basic life skills</w:t>
      </w:r>
      <w:r w:rsidR="007E1528" w:rsidRPr="0068442A">
        <w:rPr>
          <w:rStyle w:val="fontbold"/>
          <w:rFonts w:ascii="Times New Roman" w:hAnsi="Times New Roman" w:cs="Times New Roman"/>
        </w:rPr>
        <w:t>; developing these capabilities</w:t>
      </w:r>
      <w:r w:rsidRPr="0068442A">
        <w:rPr>
          <w:rStyle w:val="fontbold"/>
          <w:rFonts w:ascii="Times New Roman" w:hAnsi="Times New Roman" w:cs="Times New Roman"/>
        </w:rPr>
        <w:t xml:space="preserve"> </w:t>
      </w:r>
      <w:r w:rsidR="007E1528" w:rsidRPr="0068442A">
        <w:rPr>
          <w:rStyle w:val="fontbold"/>
          <w:rFonts w:ascii="Times New Roman" w:hAnsi="Times New Roman" w:cs="Times New Roman"/>
        </w:rPr>
        <w:t>leads to further</w:t>
      </w:r>
      <w:r w:rsidRPr="0068442A">
        <w:rPr>
          <w:rStyle w:val="fontbold"/>
          <w:rFonts w:ascii="Times New Roman" w:hAnsi="Times New Roman" w:cs="Times New Roman"/>
        </w:rPr>
        <w:t xml:space="preserve"> </w:t>
      </w:r>
      <w:r w:rsidR="0033771D" w:rsidRPr="0068442A">
        <w:rPr>
          <w:rStyle w:val="fontbold"/>
          <w:rFonts w:ascii="Times New Roman" w:hAnsi="Times New Roman" w:cs="Times New Roman"/>
        </w:rPr>
        <w:t>capabilit</w:t>
      </w:r>
      <w:r w:rsidR="007E1528" w:rsidRPr="0068442A">
        <w:rPr>
          <w:rStyle w:val="fontbold"/>
          <w:rFonts w:ascii="Times New Roman" w:hAnsi="Times New Roman" w:cs="Times New Roman"/>
        </w:rPr>
        <w:t>y development,</w:t>
      </w:r>
      <w:r w:rsidRPr="0068442A">
        <w:rPr>
          <w:rStyle w:val="fontbold"/>
          <w:rFonts w:ascii="Times New Roman" w:hAnsi="Times New Roman" w:cs="Times New Roman"/>
        </w:rPr>
        <w:t xml:space="preserve"> as education has a distributive and interpersonal effect</w:t>
      </w:r>
      <w:r w:rsidR="00724BB4" w:rsidRPr="0068442A">
        <w:rPr>
          <w:rStyle w:val="fontbold"/>
          <w:rFonts w:ascii="Times New Roman" w:hAnsi="Times New Roman" w:cs="Times New Roman"/>
        </w:rPr>
        <w:t xml:space="preserve"> </w:t>
      </w:r>
      <w:r w:rsidRPr="0068442A">
        <w:rPr>
          <w:rStyle w:val="fontbold"/>
          <w:rFonts w:ascii="Times New Roman" w:hAnsi="Times New Roman" w:cs="Times New Roman"/>
        </w:rPr>
        <w:t>in reducing gender inequalities a</w:t>
      </w:r>
      <w:r w:rsidR="0033771D" w:rsidRPr="0068442A">
        <w:rPr>
          <w:rStyle w:val="fontbold"/>
          <w:rFonts w:ascii="Times New Roman" w:hAnsi="Times New Roman" w:cs="Times New Roman"/>
        </w:rPr>
        <w:t>nd expand</w:t>
      </w:r>
      <w:r w:rsidR="00724BB4" w:rsidRPr="0068442A">
        <w:rPr>
          <w:rStyle w:val="fontbold"/>
          <w:rFonts w:ascii="Times New Roman" w:hAnsi="Times New Roman" w:cs="Times New Roman"/>
        </w:rPr>
        <w:t>ing</w:t>
      </w:r>
      <w:r w:rsidR="0033771D" w:rsidRPr="0068442A">
        <w:rPr>
          <w:rStyle w:val="fontbold"/>
          <w:rFonts w:ascii="Times New Roman" w:hAnsi="Times New Roman" w:cs="Times New Roman"/>
        </w:rPr>
        <w:t xml:space="preserve"> all other capabilities</w:t>
      </w:r>
      <w:r w:rsidR="009D1D18" w:rsidRPr="0068442A">
        <w:rPr>
          <w:rStyle w:val="fontbold"/>
          <w:rFonts w:ascii="Times New Roman" w:hAnsi="Times New Roman" w:cs="Times New Roman"/>
        </w:rPr>
        <w:t xml:space="preserve"> (Sen</w:t>
      </w:r>
      <w:r w:rsidR="00426445" w:rsidRPr="0068442A">
        <w:rPr>
          <w:rStyle w:val="fontbold"/>
          <w:rFonts w:ascii="Times New Roman" w:hAnsi="Times New Roman" w:cs="Times New Roman"/>
        </w:rPr>
        <w:t xml:space="preserve">, </w:t>
      </w:r>
      <w:r w:rsidR="007E1528" w:rsidRPr="0068442A">
        <w:rPr>
          <w:rStyle w:val="fontbold"/>
          <w:rFonts w:ascii="Times New Roman" w:hAnsi="Times New Roman" w:cs="Times New Roman"/>
        </w:rPr>
        <w:t>1999)</w:t>
      </w:r>
      <w:r w:rsidR="00B57EC0" w:rsidRPr="0068442A">
        <w:rPr>
          <w:rStyle w:val="fontbold"/>
          <w:rFonts w:ascii="Times New Roman" w:hAnsi="Times New Roman" w:cs="Times New Roman"/>
        </w:rPr>
        <w:t xml:space="preserve">, as well as </w:t>
      </w:r>
      <w:r w:rsidR="00A50CF2" w:rsidRPr="0068442A">
        <w:rPr>
          <w:rStyle w:val="fontbold"/>
          <w:rFonts w:ascii="Times New Roman" w:hAnsi="Times New Roman" w:cs="Times New Roman"/>
        </w:rPr>
        <w:t>contribut</w:t>
      </w:r>
      <w:r w:rsidR="00A50CF2">
        <w:rPr>
          <w:rStyle w:val="fontbold"/>
          <w:rFonts w:ascii="Times New Roman" w:hAnsi="Times New Roman" w:cs="Times New Roman"/>
        </w:rPr>
        <w:t>ing</w:t>
      </w:r>
      <w:r w:rsidR="00A50CF2" w:rsidRPr="0068442A">
        <w:rPr>
          <w:rStyle w:val="fontbold"/>
          <w:rFonts w:ascii="Times New Roman" w:hAnsi="Times New Roman" w:cs="Times New Roman"/>
        </w:rPr>
        <w:t xml:space="preserve"> </w:t>
      </w:r>
      <w:r w:rsidR="00B57EC0" w:rsidRPr="0068442A">
        <w:rPr>
          <w:rStyle w:val="fontbold"/>
          <w:rFonts w:ascii="Times New Roman" w:hAnsi="Times New Roman" w:cs="Times New Roman"/>
        </w:rPr>
        <w:t>to diversity and progression in society and community.</w:t>
      </w:r>
    </w:p>
    <w:p w14:paraId="7BFDCE08" w14:textId="77777777" w:rsidR="009F2C1D" w:rsidRPr="0068442A" w:rsidRDefault="00B729DE" w:rsidP="00BF1E10">
      <w:pPr>
        <w:spacing w:line="360" w:lineRule="auto"/>
        <w:jc w:val="both"/>
        <w:rPr>
          <w:rStyle w:val="fontbold"/>
          <w:rFonts w:ascii="Times New Roman" w:hAnsi="Times New Roman" w:cs="Times New Roman"/>
          <w:b/>
        </w:rPr>
      </w:pPr>
      <w:r w:rsidRPr="0068442A">
        <w:rPr>
          <w:rStyle w:val="fontbold"/>
          <w:rFonts w:ascii="Times New Roman" w:hAnsi="Times New Roman" w:cs="Times New Roman"/>
          <w:b/>
        </w:rPr>
        <w:t>Discussion</w:t>
      </w:r>
    </w:p>
    <w:p w14:paraId="74CC25F5" w14:textId="65215FEC" w:rsidR="00B729DE" w:rsidRPr="0068442A" w:rsidRDefault="00920F6C" w:rsidP="00BF1E10">
      <w:pPr>
        <w:spacing w:line="360" w:lineRule="auto"/>
        <w:jc w:val="both"/>
        <w:rPr>
          <w:rStyle w:val="fontbold"/>
          <w:rFonts w:ascii="Times New Roman" w:hAnsi="Times New Roman" w:cs="Times New Roman"/>
          <w:b/>
        </w:rPr>
      </w:pPr>
      <w:r w:rsidRPr="0068442A">
        <w:rPr>
          <w:rStyle w:val="fontbold"/>
          <w:rFonts w:ascii="Times New Roman" w:hAnsi="Times New Roman" w:cs="Times New Roman"/>
          <w:b/>
          <w:i/>
        </w:rPr>
        <w:t>W</w:t>
      </w:r>
      <w:r w:rsidR="00862663" w:rsidRPr="0068442A">
        <w:rPr>
          <w:rStyle w:val="fontbold"/>
          <w:rFonts w:ascii="Times New Roman" w:hAnsi="Times New Roman" w:cs="Times New Roman"/>
          <w:b/>
          <w:i/>
        </w:rPr>
        <w:t>hat</w:t>
      </w:r>
      <w:r w:rsidR="00B729DE" w:rsidRPr="0068442A">
        <w:rPr>
          <w:rStyle w:val="fontbold"/>
          <w:rFonts w:ascii="Times New Roman" w:hAnsi="Times New Roman" w:cs="Times New Roman"/>
          <w:b/>
          <w:i/>
        </w:rPr>
        <w:t xml:space="preserve"> </w:t>
      </w:r>
      <w:r w:rsidR="009F2C1D" w:rsidRPr="0068442A">
        <w:rPr>
          <w:rStyle w:val="fontbold"/>
          <w:rFonts w:ascii="Times New Roman" w:hAnsi="Times New Roman" w:cs="Times New Roman"/>
          <w:b/>
          <w:i/>
        </w:rPr>
        <w:t>a capabilities</w:t>
      </w:r>
      <w:r w:rsidR="00B729DE" w:rsidRPr="0068442A">
        <w:rPr>
          <w:rStyle w:val="fontbold"/>
          <w:rFonts w:ascii="Times New Roman" w:hAnsi="Times New Roman" w:cs="Times New Roman"/>
          <w:b/>
          <w:i/>
        </w:rPr>
        <w:t xml:space="preserve">-based gender equality </w:t>
      </w:r>
      <w:r w:rsidR="00654850" w:rsidRPr="0068442A">
        <w:rPr>
          <w:rStyle w:val="fontbold"/>
          <w:rFonts w:ascii="Times New Roman" w:hAnsi="Times New Roman" w:cs="Times New Roman"/>
          <w:b/>
          <w:i/>
        </w:rPr>
        <w:t>in education policy-making</w:t>
      </w:r>
      <w:r w:rsidR="00862663" w:rsidRPr="0068442A">
        <w:rPr>
          <w:rStyle w:val="fontbold"/>
          <w:rFonts w:ascii="Times New Roman" w:hAnsi="Times New Roman" w:cs="Times New Roman"/>
          <w:b/>
          <w:i/>
        </w:rPr>
        <w:t xml:space="preserve"> could offer?</w:t>
      </w:r>
      <w:r w:rsidR="008363D7" w:rsidRPr="0068442A">
        <w:rPr>
          <w:rStyle w:val="fontbold"/>
          <w:rFonts w:ascii="Times New Roman" w:hAnsi="Times New Roman" w:cs="Times New Roman"/>
          <w:b/>
          <w:i/>
        </w:rPr>
        <w:t xml:space="preserve"> </w:t>
      </w:r>
    </w:p>
    <w:p w14:paraId="340C9836" w14:textId="624F3FFF" w:rsidR="00F939DD" w:rsidRPr="0068442A" w:rsidRDefault="00FB71F1" w:rsidP="00BF1E10">
      <w:pPr>
        <w:spacing w:line="360" w:lineRule="auto"/>
        <w:jc w:val="both"/>
        <w:rPr>
          <w:rStyle w:val="fontbold"/>
          <w:rFonts w:ascii="Times New Roman" w:hAnsi="Times New Roman" w:cs="Times New Roman"/>
        </w:rPr>
      </w:pPr>
      <w:r w:rsidRPr="0068442A">
        <w:rPr>
          <w:rStyle w:val="fontbold"/>
          <w:rFonts w:ascii="Times New Roman" w:hAnsi="Times New Roman" w:cs="Times New Roman"/>
        </w:rPr>
        <w:t xml:space="preserve">The interviews with stakeholders who have directly or indirectly taken part in the reform reinforced our argument that Turkey has a limited vision in approaching gender equality in </w:t>
      </w:r>
      <w:r w:rsidR="00127847" w:rsidRPr="0068442A">
        <w:rPr>
          <w:rStyle w:val="fontbold"/>
          <w:rFonts w:ascii="Times New Roman" w:hAnsi="Times New Roman" w:cs="Times New Roman"/>
        </w:rPr>
        <w:t>educational policy</w:t>
      </w:r>
      <w:r w:rsidR="00E473B4" w:rsidRPr="0068442A">
        <w:rPr>
          <w:rStyle w:val="fontbold"/>
          <w:rFonts w:ascii="Times New Roman" w:hAnsi="Times New Roman" w:cs="Times New Roman"/>
        </w:rPr>
        <w:t>-</w:t>
      </w:r>
      <w:r w:rsidR="00127847" w:rsidRPr="0068442A">
        <w:rPr>
          <w:rStyle w:val="fontbold"/>
          <w:rFonts w:ascii="Times New Roman" w:hAnsi="Times New Roman" w:cs="Times New Roman"/>
        </w:rPr>
        <w:t>making</w:t>
      </w:r>
      <w:r w:rsidRPr="0068442A">
        <w:rPr>
          <w:rStyle w:val="fontbold"/>
          <w:rFonts w:ascii="Times New Roman" w:hAnsi="Times New Roman" w:cs="Times New Roman"/>
        </w:rPr>
        <w:t>. Although we agree that providing women and girls access to education and increasing their participatio</w:t>
      </w:r>
      <w:r w:rsidR="001751F5" w:rsidRPr="0068442A">
        <w:rPr>
          <w:rStyle w:val="fontbold"/>
          <w:rFonts w:ascii="Times New Roman" w:hAnsi="Times New Roman" w:cs="Times New Roman"/>
        </w:rPr>
        <w:t xml:space="preserve">n </w:t>
      </w:r>
      <w:r w:rsidR="001751F5" w:rsidRPr="0068442A">
        <w:rPr>
          <w:rStyle w:val="fontbold"/>
          <w:rFonts w:ascii="Times New Roman" w:hAnsi="Times New Roman" w:cs="Times New Roman"/>
        </w:rPr>
        <w:lastRenderedPageBreak/>
        <w:t>is a significant step</w:t>
      </w:r>
      <w:r w:rsidR="00127847" w:rsidRPr="0068442A">
        <w:rPr>
          <w:rStyle w:val="fontbold"/>
          <w:rFonts w:ascii="Times New Roman" w:hAnsi="Times New Roman" w:cs="Times New Roman"/>
        </w:rPr>
        <w:t>, it</w:t>
      </w:r>
      <w:r w:rsidR="001751F5" w:rsidRPr="0068442A">
        <w:rPr>
          <w:rStyle w:val="fontbold"/>
          <w:rFonts w:ascii="Times New Roman" w:hAnsi="Times New Roman" w:cs="Times New Roman"/>
        </w:rPr>
        <w:t xml:space="preserve"> is insufficient in term</w:t>
      </w:r>
      <w:r w:rsidR="00862663" w:rsidRPr="0068442A">
        <w:rPr>
          <w:rStyle w:val="fontbold"/>
          <w:rFonts w:ascii="Times New Roman" w:hAnsi="Times New Roman" w:cs="Times New Roman"/>
        </w:rPr>
        <w:t>s</w:t>
      </w:r>
      <w:r w:rsidR="001751F5" w:rsidRPr="0068442A">
        <w:rPr>
          <w:rStyle w:val="fontbold"/>
          <w:rFonts w:ascii="Times New Roman" w:hAnsi="Times New Roman" w:cs="Times New Roman"/>
        </w:rPr>
        <w:t xml:space="preserve"> of coping with wider gender inequalities that disempower girls and women, preventing them from achieving what they value and challenging the norms, structures, relations and hierarchies that reproduce such inequalities. Therefore, a capabilities-based gender equality would require addressing</w:t>
      </w:r>
      <w:r w:rsidR="00F939DD" w:rsidRPr="0068442A">
        <w:rPr>
          <w:rStyle w:val="fontbold"/>
          <w:rFonts w:ascii="Times New Roman" w:hAnsi="Times New Roman" w:cs="Times New Roman"/>
        </w:rPr>
        <w:t xml:space="preserve"> conversion factors of</w:t>
      </w:r>
      <w:r w:rsidR="001751F5" w:rsidRPr="0068442A">
        <w:rPr>
          <w:rStyle w:val="fontbold"/>
          <w:rFonts w:ascii="Times New Roman" w:hAnsi="Times New Roman" w:cs="Times New Roman"/>
        </w:rPr>
        <w:t xml:space="preserve"> gendered relations, structures, pedagogies, practices and beliefs that </w:t>
      </w:r>
      <w:r w:rsidR="00AB3945" w:rsidRPr="0068442A">
        <w:rPr>
          <w:rStyle w:val="fontbold"/>
          <w:rFonts w:ascii="Times New Roman" w:hAnsi="Times New Roman" w:cs="Times New Roman"/>
        </w:rPr>
        <w:t>work as</w:t>
      </w:r>
      <w:r w:rsidR="00E84B73" w:rsidRPr="0068442A">
        <w:rPr>
          <w:rStyle w:val="fontbold"/>
          <w:rFonts w:ascii="Times New Roman" w:hAnsi="Times New Roman" w:cs="Times New Roman"/>
        </w:rPr>
        <w:t xml:space="preserve"> </w:t>
      </w:r>
      <w:r w:rsidR="00AB3945" w:rsidRPr="0068442A">
        <w:rPr>
          <w:rStyle w:val="fontbold"/>
          <w:rFonts w:ascii="Times New Roman" w:hAnsi="Times New Roman" w:cs="Times New Roman"/>
        </w:rPr>
        <w:t xml:space="preserve">barriers </w:t>
      </w:r>
      <w:r w:rsidR="00E84B73" w:rsidRPr="0068442A">
        <w:rPr>
          <w:rStyle w:val="fontbold"/>
          <w:rFonts w:ascii="Times New Roman" w:hAnsi="Times New Roman" w:cs="Times New Roman"/>
        </w:rPr>
        <w:t>to</w:t>
      </w:r>
      <w:r w:rsidR="00AB3945" w:rsidRPr="0068442A">
        <w:rPr>
          <w:rStyle w:val="fontbold"/>
          <w:rFonts w:ascii="Times New Roman" w:hAnsi="Times New Roman" w:cs="Times New Roman"/>
        </w:rPr>
        <w:t xml:space="preserve"> girls</w:t>
      </w:r>
      <w:r w:rsidR="006241A7" w:rsidRPr="0068442A">
        <w:rPr>
          <w:rStyle w:val="fontbold"/>
          <w:rFonts w:ascii="Times New Roman" w:hAnsi="Times New Roman" w:cs="Times New Roman"/>
        </w:rPr>
        <w:t>’</w:t>
      </w:r>
      <w:r w:rsidR="00AB3945" w:rsidRPr="0068442A">
        <w:rPr>
          <w:rStyle w:val="fontbold"/>
          <w:rFonts w:ascii="Times New Roman" w:hAnsi="Times New Roman" w:cs="Times New Roman"/>
        </w:rPr>
        <w:t xml:space="preserve"> widen</w:t>
      </w:r>
      <w:r w:rsidR="00E84B73" w:rsidRPr="0068442A">
        <w:rPr>
          <w:rStyle w:val="fontbold"/>
          <w:rFonts w:ascii="Times New Roman" w:hAnsi="Times New Roman" w:cs="Times New Roman"/>
        </w:rPr>
        <w:t>ing</w:t>
      </w:r>
      <w:r w:rsidR="00AB3945" w:rsidRPr="0068442A">
        <w:rPr>
          <w:rStyle w:val="fontbold"/>
          <w:rFonts w:ascii="Times New Roman" w:hAnsi="Times New Roman" w:cs="Times New Roman"/>
        </w:rPr>
        <w:t xml:space="preserve"> their opportunities and capabilities and </w:t>
      </w:r>
      <w:r w:rsidR="00E84B73" w:rsidRPr="0068442A">
        <w:rPr>
          <w:rStyle w:val="fontbold"/>
          <w:rFonts w:ascii="Times New Roman" w:hAnsi="Times New Roman" w:cs="Times New Roman"/>
        </w:rPr>
        <w:t>achieving</w:t>
      </w:r>
      <w:r w:rsidR="00AB3945" w:rsidRPr="0068442A">
        <w:rPr>
          <w:rStyle w:val="fontbold"/>
          <w:rFonts w:ascii="Times New Roman" w:hAnsi="Times New Roman" w:cs="Times New Roman"/>
        </w:rPr>
        <w:t xml:space="preserve"> well-being</w:t>
      </w:r>
      <w:r w:rsidR="00F939DD" w:rsidRPr="0068442A">
        <w:rPr>
          <w:rStyle w:val="fontbold"/>
          <w:rFonts w:ascii="Times New Roman" w:hAnsi="Times New Roman" w:cs="Times New Roman"/>
        </w:rPr>
        <w:t xml:space="preserve"> </w:t>
      </w:r>
      <w:r w:rsidR="009D1D18" w:rsidRPr="0068442A">
        <w:rPr>
          <w:rStyle w:val="fontbold"/>
          <w:rFonts w:ascii="Times New Roman" w:hAnsi="Times New Roman" w:cs="Times New Roman"/>
        </w:rPr>
        <w:t>(Unterhalter</w:t>
      </w:r>
      <w:r w:rsidR="00426445" w:rsidRPr="0068442A">
        <w:rPr>
          <w:rStyle w:val="fontbold"/>
          <w:rFonts w:ascii="Times New Roman" w:hAnsi="Times New Roman" w:cs="Times New Roman"/>
        </w:rPr>
        <w:t xml:space="preserve">, </w:t>
      </w:r>
      <w:r w:rsidR="00AB3945" w:rsidRPr="0068442A">
        <w:rPr>
          <w:rStyle w:val="fontbold"/>
          <w:rFonts w:ascii="Times New Roman" w:hAnsi="Times New Roman" w:cs="Times New Roman"/>
        </w:rPr>
        <w:t>2007</w:t>
      </w:r>
      <w:r w:rsidR="00E7356D" w:rsidRPr="0068442A">
        <w:rPr>
          <w:rStyle w:val="fontbold"/>
          <w:rFonts w:ascii="Times New Roman" w:hAnsi="Times New Roman" w:cs="Times New Roman"/>
        </w:rPr>
        <w:t>a</w:t>
      </w:r>
      <w:r w:rsidR="00AB3945" w:rsidRPr="0068442A">
        <w:rPr>
          <w:rStyle w:val="fontbold"/>
          <w:rFonts w:ascii="Times New Roman" w:hAnsi="Times New Roman" w:cs="Times New Roman"/>
        </w:rPr>
        <w:t xml:space="preserve">). </w:t>
      </w:r>
      <w:r w:rsidR="00D71C2A" w:rsidRPr="0068442A">
        <w:rPr>
          <w:rStyle w:val="fontbold"/>
          <w:rFonts w:ascii="Times New Roman" w:hAnsi="Times New Roman" w:cs="Times New Roman"/>
        </w:rPr>
        <w:t>The</w:t>
      </w:r>
      <w:r w:rsidR="00AB3945" w:rsidRPr="0068442A">
        <w:rPr>
          <w:rStyle w:val="fontbold"/>
          <w:rFonts w:ascii="Times New Roman" w:hAnsi="Times New Roman" w:cs="Times New Roman"/>
        </w:rPr>
        <w:t xml:space="preserve"> current reform </w:t>
      </w:r>
      <w:r w:rsidR="00781669" w:rsidRPr="0068442A">
        <w:rPr>
          <w:rStyle w:val="fontbold"/>
          <w:rFonts w:ascii="Times New Roman" w:hAnsi="Times New Roman" w:cs="Times New Roman"/>
        </w:rPr>
        <w:t>does not comprehensively provide clear</w:t>
      </w:r>
      <w:r w:rsidR="00767EEF" w:rsidRPr="0068442A">
        <w:rPr>
          <w:rStyle w:val="fontbold"/>
          <w:rFonts w:ascii="Times New Roman" w:hAnsi="Times New Roman" w:cs="Times New Roman"/>
        </w:rPr>
        <w:t xml:space="preserve">, </w:t>
      </w:r>
      <w:r w:rsidR="00287C20" w:rsidRPr="0068442A">
        <w:rPr>
          <w:rStyle w:val="fontbold"/>
          <w:rFonts w:ascii="Times New Roman" w:hAnsi="Times New Roman" w:cs="Times New Roman"/>
        </w:rPr>
        <w:t>in-depth</w:t>
      </w:r>
      <w:r w:rsidR="00781669" w:rsidRPr="0068442A">
        <w:rPr>
          <w:rStyle w:val="fontbold"/>
          <w:rFonts w:ascii="Times New Roman" w:hAnsi="Times New Roman" w:cs="Times New Roman"/>
        </w:rPr>
        <w:t xml:space="preserve"> policy </w:t>
      </w:r>
      <w:r w:rsidR="00E558C0" w:rsidRPr="0068442A">
        <w:rPr>
          <w:rStyle w:val="fontbold"/>
          <w:rFonts w:ascii="Times New Roman" w:hAnsi="Times New Roman" w:cs="Times New Roman"/>
        </w:rPr>
        <w:t>goals and</w:t>
      </w:r>
      <w:r w:rsidR="00781669" w:rsidRPr="0068442A">
        <w:rPr>
          <w:rStyle w:val="fontbold"/>
          <w:rFonts w:ascii="Times New Roman" w:hAnsi="Times New Roman" w:cs="Times New Roman"/>
        </w:rPr>
        <w:t xml:space="preserve"> definitions of achieving gender equality that could bring transformative changes</w:t>
      </w:r>
      <w:r w:rsidR="00B141FE">
        <w:rPr>
          <w:rStyle w:val="fontbold"/>
          <w:rFonts w:ascii="Times New Roman" w:hAnsi="Times New Roman" w:cs="Times New Roman"/>
        </w:rPr>
        <w:t>;</w:t>
      </w:r>
      <w:r w:rsidR="006241A7" w:rsidRPr="0068442A">
        <w:rPr>
          <w:rStyle w:val="fontbold"/>
          <w:rFonts w:ascii="Times New Roman" w:hAnsi="Times New Roman" w:cs="Times New Roman"/>
        </w:rPr>
        <w:t xml:space="preserve"> therefore,</w:t>
      </w:r>
      <w:r w:rsidR="00F939DD" w:rsidRPr="0068442A">
        <w:rPr>
          <w:rStyle w:val="fontbold"/>
          <w:rFonts w:ascii="Times New Roman" w:hAnsi="Times New Roman" w:cs="Times New Roman"/>
        </w:rPr>
        <w:t xml:space="preserve"> </w:t>
      </w:r>
      <w:r w:rsidR="00AA686C" w:rsidRPr="0068442A">
        <w:rPr>
          <w:rStyle w:val="fontbold"/>
          <w:rFonts w:ascii="Times New Roman" w:hAnsi="Times New Roman" w:cs="Times New Roman"/>
        </w:rPr>
        <w:t xml:space="preserve">the </w:t>
      </w:r>
      <w:r w:rsidR="00F939DD" w:rsidRPr="0068442A">
        <w:rPr>
          <w:rStyle w:val="fontbold"/>
          <w:rFonts w:ascii="Times New Roman" w:hAnsi="Times New Roman" w:cs="Times New Roman"/>
        </w:rPr>
        <w:t xml:space="preserve">use of </w:t>
      </w:r>
      <w:r w:rsidR="00287C20" w:rsidRPr="0068442A">
        <w:rPr>
          <w:rStyle w:val="fontbold"/>
          <w:rFonts w:ascii="Times New Roman" w:hAnsi="Times New Roman" w:cs="Times New Roman"/>
        </w:rPr>
        <w:t>capabilities</w:t>
      </w:r>
      <w:r w:rsidR="00F939DD" w:rsidRPr="0068442A">
        <w:rPr>
          <w:rStyle w:val="fontbold"/>
          <w:rFonts w:ascii="Times New Roman" w:hAnsi="Times New Roman" w:cs="Times New Roman"/>
        </w:rPr>
        <w:t xml:space="preserve"> to inform policy goals would reduce the influence of </w:t>
      </w:r>
      <w:r w:rsidR="00AA686C" w:rsidRPr="0068442A">
        <w:rPr>
          <w:rStyle w:val="fontbold"/>
          <w:rFonts w:ascii="Times New Roman" w:hAnsi="Times New Roman" w:cs="Times New Roman"/>
        </w:rPr>
        <w:t xml:space="preserve">the </w:t>
      </w:r>
      <w:r w:rsidR="00F939DD" w:rsidRPr="0068442A">
        <w:rPr>
          <w:rStyle w:val="fontbold"/>
          <w:rFonts w:ascii="Times New Roman" w:hAnsi="Times New Roman" w:cs="Times New Roman"/>
        </w:rPr>
        <w:t>aforementioned conversion factors in education on girls’ capabilities and agency.</w:t>
      </w:r>
    </w:p>
    <w:p w14:paraId="14D0D967" w14:textId="438B03B5" w:rsidR="00BD604F" w:rsidRPr="0068442A" w:rsidRDefault="00F939DD" w:rsidP="00BF1E10">
      <w:pPr>
        <w:spacing w:line="360" w:lineRule="auto"/>
        <w:ind w:firstLine="720"/>
        <w:jc w:val="both"/>
        <w:rPr>
          <w:rStyle w:val="fontbold"/>
          <w:rFonts w:ascii="Times New Roman" w:hAnsi="Times New Roman" w:cs="Times New Roman"/>
        </w:rPr>
      </w:pPr>
      <w:r w:rsidRPr="0068442A">
        <w:rPr>
          <w:rStyle w:val="fontbold"/>
          <w:rFonts w:ascii="Times New Roman" w:hAnsi="Times New Roman" w:cs="Times New Roman"/>
        </w:rPr>
        <w:t xml:space="preserve">The limited understanding that shaped the reform and policy was also reflected in its practices. </w:t>
      </w:r>
      <w:r w:rsidR="004A287C" w:rsidRPr="0068442A">
        <w:rPr>
          <w:rStyle w:val="fontbold"/>
          <w:rFonts w:ascii="Times New Roman" w:hAnsi="Times New Roman" w:cs="Times New Roman"/>
        </w:rPr>
        <w:t>It</w:t>
      </w:r>
      <w:r w:rsidR="006241A7" w:rsidRPr="0068442A">
        <w:rPr>
          <w:rStyle w:val="fontbold"/>
          <w:rFonts w:ascii="Times New Roman" w:hAnsi="Times New Roman" w:cs="Times New Roman"/>
        </w:rPr>
        <w:t xml:space="preserve"> constrained</w:t>
      </w:r>
      <w:r w:rsidR="00BD604F" w:rsidRPr="0068442A">
        <w:rPr>
          <w:rStyle w:val="fontbold"/>
          <w:rFonts w:ascii="Times New Roman" w:hAnsi="Times New Roman" w:cs="Times New Roman"/>
        </w:rPr>
        <w:t xml:space="preserve"> girls’ social capabilities of </w:t>
      </w:r>
      <w:r w:rsidR="007C3F46" w:rsidRPr="0068442A">
        <w:rPr>
          <w:rStyle w:val="fontbold"/>
          <w:rFonts w:ascii="Times New Roman" w:hAnsi="Times New Roman" w:cs="Times New Roman"/>
        </w:rPr>
        <w:t>engaging</w:t>
      </w:r>
      <w:r w:rsidR="00BD604F" w:rsidRPr="0068442A">
        <w:rPr>
          <w:rStyle w:val="fontbold"/>
          <w:rFonts w:ascii="Times New Roman" w:hAnsi="Times New Roman" w:cs="Times New Roman"/>
        </w:rPr>
        <w:t xml:space="preserve"> freely </w:t>
      </w:r>
      <w:r w:rsidR="004A287C" w:rsidRPr="0068442A">
        <w:rPr>
          <w:rStyle w:val="fontbold"/>
          <w:rFonts w:ascii="Times New Roman" w:hAnsi="Times New Roman" w:cs="Times New Roman"/>
        </w:rPr>
        <w:t xml:space="preserve">in </w:t>
      </w:r>
      <w:r w:rsidR="00BD604F" w:rsidRPr="0068442A">
        <w:rPr>
          <w:rStyle w:val="fontbold"/>
          <w:rFonts w:ascii="Times New Roman" w:hAnsi="Times New Roman" w:cs="Times New Roman"/>
        </w:rPr>
        <w:t>mixed</w:t>
      </w:r>
      <w:r w:rsidR="00BC19F0" w:rsidRPr="0068442A">
        <w:rPr>
          <w:rStyle w:val="fontbold"/>
          <w:rFonts w:ascii="Times New Roman" w:hAnsi="Times New Roman" w:cs="Times New Roman"/>
        </w:rPr>
        <w:t>-</w:t>
      </w:r>
      <w:r w:rsidR="00BD604F" w:rsidRPr="0068442A">
        <w:rPr>
          <w:rStyle w:val="fontbold"/>
          <w:rFonts w:ascii="Times New Roman" w:hAnsi="Times New Roman" w:cs="Times New Roman"/>
        </w:rPr>
        <w:t xml:space="preserve">gender relations </w:t>
      </w:r>
      <w:r w:rsidR="007C3F46" w:rsidRPr="0068442A">
        <w:rPr>
          <w:rStyle w:val="fontbold"/>
          <w:rFonts w:ascii="Times New Roman" w:hAnsi="Times New Roman" w:cs="Times New Roman"/>
        </w:rPr>
        <w:t>without</w:t>
      </w:r>
      <w:r w:rsidR="00BD604F" w:rsidRPr="0068442A">
        <w:rPr>
          <w:rStyle w:val="fontbold"/>
          <w:rFonts w:ascii="Times New Roman" w:hAnsi="Times New Roman" w:cs="Times New Roman"/>
        </w:rPr>
        <w:t xml:space="preserve"> </w:t>
      </w:r>
      <w:r w:rsidR="007C3F46" w:rsidRPr="0068442A">
        <w:rPr>
          <w:rStyle w:val="fontbold"/>
          <w:rFonts w:ascii="Times New Roman" w:hAnsi="Times New Roman" w:cs="Times New Roman"/>
        </w:rPr>
        <w:t>harassment</w:t>
      </w:r>
      <w:r w:rsidR="00BD604F" w:rsidRPr="0068442A">
        <w:rPr>
          <w:rStyle w:val="fontbold"/>
          <w:rFonts w:ascii="Times New Roman" w:hAnsi="Times New Roman" w:cs="Times New Roman"/>
        </w:rPr>
        <w:t xml:space="preserve"> and shame, which could have </w:t>
      </w:r>
      <w:r w:rsidR="004A287C" w:rsidRPr="0068442A">
        <w:rPr>
          <w:rStyle w:val="fontbold"/>
          <w:rFonts w:ascii="Times New Roman" w:hAnsi="Times New Roman" w:cs="Times New Roman"/>
        </w:rPr>
        <w:t xml:space="preserve">been </w:t>
      </w:r>
      <w:r w:rsidR="00BD604F" w:rsidRPr="0068442A">
        <w:rPr>
          <w:rStyle w:val="fontbold"/>
          <w:rFonts w:ascii="Times New Roman" w:hAnsi="Times New Roman" w:cs="Times New Roman"/>
        </w:rPr>
        <w:t>provided only through schooling due to the prevailing cultural values and social monitoring effective</w:t>
      </w:r>
      <w:r w:rsidR="004A287C" w:rsidRPr="0068442A">
        <w:rPr>
          <w:rStyle w:val="fontbold"/>
          <w:rFonts w:ascii="Times New Roman" w:hAnsi="Times New Roman" w:cs="Times New Roman"/>
        </w:rPr>
        <w:t>ly</w:t>
      </w:r>
      <w:r w:rsidR="00BD604F" w:rsidRPr="0068442A">
        <w:rPr>
          <w:rStyle w:val="fontbold"/>
          <w:rFonts w:ascii="Times New Roman" w:hAnsi="Times New Roman" w:cs="Times New Roman"/>
        </w:rPr>
        <w:t xml:space="preserve"> regulating their bodies in the community</w:t>
      </w:r>
      <w:r w:rsidR="004A287C" w:rsidRPr="0068442A">
        <w:rPr>
          <w:rStyle w:val="fontbold"/>
          <w:rFonts w:ascii="Times New Roman" w:hAnsi="Times New Roman" w:cs="Times New Roman"/>
        </w:rPr>
        <w:t xml:space="preserve">. The reform also inhibited </w:t>
      </w:r>
      <w:r w:rsidR="00D878CD" w:rsidRPr="0068442A">
        <w:rPr>
          <w:rStyle w:val="fontbold"/>
          <w:rFonts w:ascii="Times New Roman" w:hAnsi="Times New Roman" w:cs="Times New Roman"/>
        </w:rPr>
        <w:t xml:space="preserve">the </w:t>
      </w:r>
      <w:r w:rsidR="004A287C" w:rsidRPr="0068442A">
        <w:rPr>
          <w:rStyle w:val="fontbold"/>
          <w:rFonts w:ascii="Times New Roman" w:hAnsi="Times New Roman" w:cs="Times New Roman"/>
        </w:rPr>
        <w:t>development of girls’</w:t>
      </w:r>
      <w:r w:rsidR="00BD604F" w:rsidRPr="0068442A">
        <w:rPr>
          <w:rStyle w:val="fontbold"/>
          <w:rFonts w:ascii="Times New Roman" w:hAnsi="Times New Roman" w:cs="Times New Roman"/>
        </w:rPr>
        <w:t xml:space="preserve"> intellectual capability of benefiting from the cultural, intellectual and social fac</w:t>
      </w:r>
      <w:r w:rsidR="007C3F46" w:rsidRPr="0068442A">
        <w:rPr>
          <w:rStyle w:val="fontbold"/>
          <w:rFonts w:ascii="Times New Roman" w:hAnsi="Times New Roman" w:cs="Times New Roman"/>
        </w:rPr>
        <w:t xml:space="preserve">ilities provided by school, which are of great importance for </w:t>
      </w:r>
      <w:r w:rsidR="004A287C" w:rsidRPr="0068442A">
        <w:rPr>
          <w:rStyle w:val="fontbold"/>
          <w:rFonts w:ascii="Times New Roman" w:hAnsi="Times New Roman" w:cs="Times New Roman"/>
        </w:rPr>
        <w:t xml:space="preserve">the </w:t>
      </w:r>
      <w:r w:rsidR="007C3F46" w:rsidRPr="0068442A">
        <w:rPr>
          <w:rStyle w:val="fontbold"/>
          <w:rFonts w:ascii="Times New Roman" w:hAnsi="Times New Roman" w:cs="Times New Roman"/>
        </w:rPr>
        <w:t>development of further capabilities.</w:t>
      </w:r>
      <w:r w:rsidR="00041129" w:rsidRPr="0068442A">
        <w:rPr>
          <w:rStyle w:val="fontbold"/>
          <w:rFonts w:ascii="Times New Roman" w:hAnsi="Times New Roman" w:cs="Times New Roman"/>
        </w:rPr>
        <w:t xml:space="preserve"> </w:t>
      </w:r>
      <w:r w:rsidR="006A5006" w:rsidRPr="0068442A">
        <w:rPr>
          <w:rStyle w:val="fontbold"/>
          <w:rFonts w:ascii="Times New Roman" w:hAnsi="Times New Roman" w:cs="Times New Roman"/>
        </w:rPr>
        <w:t xml:space="preserve"> The tension between the intentions of policy and</w:t>
      </w:r>
      <w:r w:rsidR="000D10C6" w:rsidRPr="0068442A">
        <w:rPr>
          <w:rStyle w:val="fontbold"/>
          <w:rFonts w:ascii="Times New Roman" w:hAnsi="Times New Roman" w:cs="Times New Roman"/>
        </w:rPr>
        <w:t xml:space="preserve"> how it is practiced</w:t>
      </w:r>
      <w:r w:rsidR="00111718" w:rsidRPr="0068442A">
        <w:rPr>
          <w:rStyle w:val="fontbold"/>
          <w:rFonts w:ascii="Times New Roman" w:hAnsi="Times New Roman" w:cs="Times New Roman"/>
        </w:rPr>
        <w:t xml:space="preserve"> is evident and it </w:t>
      </w:r>
      <w:r w:rsidR="006A5006" w:rsidRPr="0068442A">
        <w:rPr>
          <w:rStyle w:val="fontbold"/>
          <w:rFonts w:ascii="Times New Roman" w:hAnsi="Times New Roman" w:cs="Times New Roman"/>
        </w:rPr>
        <w:t xml:space="preserve">results from the </w:t>
      </w:r>
      <w:r w:rsidR="00701C84" w:rsidRPr="0068442A">
        <w:rPr>
          <w:rStyle w:val="fontbold"/>
          <w:rFonts w:ascii="Times New Roman" w:hAnsi="Times New Roman" w:cs="Times New Roman"/>
        </w:rPr>
        <w:t>issue of minimum compliance</w:t>
      </w:r>
      <w:r w:rsidR="00BB0268" w:rsidRPr="0068442A">
        <w:rPr>
          <w:rStyle w:val="fontbold"/>
          <w:rFonts w:ascii="Times New Roman" w:hAnsi="Times New Roman" w:cs="Times New Roman"/>
        </w:rPr>
        <w:t>, meaning g</w:t>
      </w:r>
      <w:r w:rsidR="00701C84" w:rsidRPr="0068442A">
        <w:rPr>
          <w:rStyle w:val="fontbold"/>
          <w:rFonts w:ascii="Times New Roman" w:hAnsi="Times New Roman" w:cs="Times New Roman"/>
        </w:rPr>
        <w:t>ender equality in education is a long</w:t>
      </w:r>
      <w:r w:rsidR="00B141FE">
        <w:rPr>
          <w:rStyle w:val="fontbold"/>
          <w:rFonts w:ascii="Times New Roman" w:hAnsi="Times New Roman" w:cs="Times New Roman"/>
        </w:rPr>
        <w:t>-</w:t>
      </w:r>
      <w:r w:rsidR="00701C84" w:rsidRPr="0068442A">
        <w:rPr>
          <w:rStyle w:val="fontbold"/>
          <w:rFonts w:ascii="Times New Roman" w:hAnsi="Times New Roman" w:cs="Times New Roman"/>
        </w:rPr>
        <w:t xml:space="preserve">established and aspired </w:t>
      </w:r>
      <w:r w:rsidR="00B141FE">
        <w:rPr>
          <w:rStyle w:val="fontbold"/>
          <w:rFonts w:ascii="Times New Roman" w:hAnsi="Times New Roman" w:cs="Times New Roman"/>
        </w:rPr>
        <w:t xml:space="preserve">for </w:t>
      </w:r>
      <w:r w:rsidR="00701C84" w:rsidRPr="0068442A">
        <w:rPr>
          <w:rStyle w:val="fontbold"/>
          <w:rFonts w:ascii="Times New Roman" w:hAnsi="Times New Roman" w:cs="Times New Roman"/>
        </w:rPr>
        <w:t xml:space="preserve">goal </w:t>
      </w:r>
      <w:r w:rsidR="00B141FE">
        <w:rPr>
          <w:rStyle w:val="fontbold"/>
          <w:rFonts w:ascii="Times New Roman" w:hAnsi="Times New Roman" w:cs="Times New Roman"/>
        </w:rPr>
        <w:t>in</w:t>
      </w:r>
      <w:r w:rsidR="00B141FE" w:rsidRPr="0068442A">
        <w:rPr>
          <w:rStyle w:val="fontbold"/>
          <w:rFonts w:ascii="Times New Roman" w:hAnsi="Times New Roman" w:cs="Times New Roman"/>
        </w:rPr>
        <w:t xml:space="preserve"> </w:t>
      </w:r>
      <w:r w:rsidR="00701C84" w:rsidRPr="0068442A">
        <w:rPr>
          <w:rStyle w:val="fontbold"/>
          <w:rFonts w:ascii="Times New Roman" w:hAnsi="Times New Roman" w:cs="Times New Roman"/>
        </w:rPr>
        <w:t xml:space="preserve">Turkey, yet aiming </w:t>
      </w:r>
      <w:r w:rsidR="00B141FE">
        <w:rPr>
          <w:rStyle w:val="fontbold"/>
          <w:rFonts w:ascii="Times New Roman" w:hAnsi="Times New Roman" w:cs="Times New Roman"/>
        </w:rPr>
        <w:t xml:space="preserve">at </w:t>
      </w:r>
      <w:r w:rsidR="00701C84" w:rsidRPr="0068442A">
        <w:rPr>
          <w:rStyle w:val="fontbold"/>
          <w:rFonts w:ascii="Times New Roman" w:hAnsi="Times New Roman" w:cs="Times New Roman"/>
        </w:rPr>
        <w:t>enrolment indicates the minimum commitment to this goal</w:t>
      </w:r>
      <w:r w:rsidR="00BB0268" w:rsidRPr="0068442A">
        <w:rPr>
          <w:rStyle w:val="fontbold"/>
          <w:rFonts w:ascii="Times New Roman" w:hAnsi="Times New Roman" w:cs="Times New Roman"/>
        </w:rPr>
        <w:t xml:space="preserve"> grounded in a political and moral vision.</w:t>
      </w:r>
    </w:p>
    <w:p w14:paraId="38CDDAB6" w14:textId="610701DF" w:rsidR="00F707AE" w:rsidRPr="0068442A" w:rsidRDefault="00990206" w:rsidP="00BF1E10">
      <w:pPr>
        <w:autoSpaceDE w:val="0"/>
        <w:autoSpaceDN w:val="0"/>
        <w:adjustRightInd w:val="0"/>
        <w:spacing w:after="0" w:line="360" w:lineRule="auto"/>
        <w:ind w:firstLine="720"/>
        <w:jc w:val="both"/>
        <w:rPr>
          <w:rFonts w:ascii="Times New Roman" w:hAnsi="Times New Roman" w:cs="Times New Roman"/>
          <w:color w:val="231F20"/>
        </w:rPr>
      </w:pPr>
      <w:r w:rsidRPr="0068442A">
        <w:rPr>
          <w:rFonts w:ascii="Times New Roman" w:hAnsi="Times New Roman" w:cs="Times New Roman"/>
          <w:color w:val="231F20"/>
        </w:rPr>
        <w:t xml:space="preserve">These findings </w:t>
      </w:r>
      <w:r w:rsidR="00FC0ED6">
        <w:rPr>
          <w:rFonts w:ascii="Times New Roman" w:hAnsi="Times New Roman" w:cs="Times New Roman"/>
          <w:color w:val="231F20"/>
        </w:rPr>
        <w:t xml:space="preserve">not only </w:t>
      </w:r>
      <w:r w:rsidRPr="0068442A">
        <w:rPr>
          <w:rFonts w:ascii="Times New Roman" w:hAnsi="Times New Roman" w:cs="Times New Roman"/>
          <w:color w:val="231F20"/>
        </w:rPr>
        <w:t xml:space="preserve">address the necessity of integrating capabilities-informed gender equality in policy-making, but also </w:t>
      </w:r>
      <w:r w:rsidR="00D421AF" w:rsidRPr="0068442A">
        <w:rPr>
          <w:rFonts w:ascii="Times New Roman" w:hAnsi="Times New Roman" w:cs="Times New Roman"/>
          <w:color w:val="231F20"/>
        </w:rPr>
        <w:t>highlight</w:t>
      </w:r>
      <w:r w:rsidRPr="0068442A">
        <w:rPr>
          <w:rFonts w:ascii="Times New Roman" w:hAnsi="Times New Roman" w:cs="Times New Roman"/>
          <w:color w:val="231F20"/>
        </w:rPr>
        <w:t xml:space="preserve"> the significance of adopting a bottom-up approach that could transform gender inequalities. </w:t>
      </w:r>
      <w:r w:rsidR="00F707AE" w:rsidRPr="0068442A">
        <w:rPr>
          <w:rFonts w:ascii="Times New Roman" w:hAnsi="Times New Roman" w:cs="Times New Roman"/>
          <w:color w:val="231F20"/>
        </w:rPr>
        <w:t>A policy understanding that does not create alternative space for bottom-up needs</w:t>
      </w:r>
      <w:r w:rsidR="008D307E" w:rsidRPr="0068442A">
        <w:rPr>
          <w:rFonts w:ascii="Times New Roman" w:hAnsi="Times New Roman" w:cs="Times New Roman"/>
          <w:color w:val="231F20"/>
        </w:rPr>
        <w:t>, listen</w:t>
      </w:r>
      <w:r w:rsidR="00F707AE" w:rsidRPr="0068442A">
        <w:rPr>
          <w:rFonts w:ascii="Times New Roman" w:hAnsi="Times New Roman" w:cs="Times New Roman"/>
          <w:color w:val="231F20"/>
        </w:rPr>
        <w:t xml:space="preserve"> to the voices of practitioners who could better identify the needs and structural problems</w:t>
      </w:r>
      <w:r w:rsidR="00F37CF7" w:rsidRPr="0068442A">
        <w:rPr>
          <w:rFonts w:ascii="Times New Roman" w:hAnsi="Times New Roman" w:cs="Times New Roman"/>
          <w:color w:val="231F20"/>
        </w:rPr>
        <w:t>,</w:t>
      </w:r>
      <w:r w:rsidR="006241A7" w:rsidRPr="0068442A">
        <w:rPr>
          <w:rFonts w:ascii="Times New Roman" w:hAnsi="Times New Roman" w:cs="Times New Roman"/>
          <w:color w:val="231F20"/>
        </w:rPr>
        <w:t xml:space="preserve"> conversion factors</w:t>
      </w:r>
      <w:r w:rsidR="00F707AE" w:rsidRPr="0068442A">
        <w:rPr>
          <w:rFonts w:ascii="Times New Roman" w:hAnsi="Times New Roman" w:cs="Times New Roman"/>
          <w:color w:val="231F20"/>
        </w:rPr>
        <w:t xml:space="preserve"> or </w:t>
      </w:r>
      <w:r w:rsidR="00F37CF7" w:rsidRPr="0068442A">
        <w:rPr>
          <w:rFonts w:ascii="Times New Roman" w:hAnsi="Times New Roman" w:cs="Times New Roman"/>
          <w:color w:val="231F20"/>
        </w:rPr>
        <w:t>bring</w:t>
      </w:r>
      <w:r w:rsidR="00F707AE" w:rsidRPr="0068442A">
        <w:rPr>
          <w:rFonts w:ascii="Times New Roman" w:hAnsi="Times New Roman" w:cs="Times New Roman"/>
          <w:color w:val="231F20"/>
        </w:rPr>
        <w:t xml:space="preserve"> the voices of girls </w:t>
      </w:r>
      <w:r w:rsidR="00116E05" w:rsidRPr="0068442A">
        <w:rPr>
          <w:rFonts w:ascii="Times New Roman" w:hAnsi="Times New Roman" w:cs="Times New Roman"/>
          <w:color w:val="231F20"/>
        </w:rPr>
        <w:t xml:space="preserve">to the forefront </w:t>
      </w:r>
      <w:r w:rsidR="00F707AE" w:rsidRPr="0068442A">
        <w:rPr>
          <w:rFonts w:ascii="Times New Roman" w:hAnsi="Times New Roman" w:cs="Times New Roman"/>
          <w:color w:val="231F20"/>
        </w:rPr>
        <w:t xml:space="preserve">cannot foster gender justice. </w:t>
      </w:r>
      <w:r w:rsidR="006A0448" w:rsidRPr="0068442A">
        <w:rPr>
          <w:rFonts w:ascii="Times New Roman" w:hAnsi="Times New Roman" w:cs="Times New Roman"/>
          <w:color w:val="231F20"/>
        </w:rPr>
        <w:t>A</w:t>
      </w:r>
      <w:r w:rsidR="00F707AE" w:rsidRPr="0068442A">
        <w:rPr>
          <w:rFonts w:ascii="Times New Roman" w:hAnsi="Times New Roman" w:cs="Times New Roman"/>
          <w:color w:val="231F20"/>
        </w:rPr>
        <w:t xml:space="preserve"> top-down approach with no public debate and deliberation with communities</w:t>
      </w:r>
      <w:r w:rsidR="005A6AE5" w:rsidRPr="0068442A">
        <w:rPr>
          <w:rFonts w:ascii="Times New Roman" w:hAnsi="Times New Roman" w:cs="Times New Roman"/>
          <w:color w:val="231F20"/>
        </w:rPr>
        <w:t>, practitioners</w:t>
      </w:r>
      <w:r w:rsidR="006A0448" w:rsidRPr="0068442A">
        <w:rPr>
          <w:rFonts w:ascii="Times New Roman" w:hAnsi="Times New Roman" w:cs="Times New Roman"/>
          <w:color w:val="231F20"/>
        </w:rPr>
        <w:t>,</w:t>
      </w:r>
      <w:r w:rsidR="005A6AE5" w:rsidRPr="0068442A">
        <w:rPr>
          <w:rFonts w:ascii="Times New Roman" w:hAnsi="Times New Roman" w:cs="Times New Roman"/>
          <w:color w:val="231F20"/>
        </w:rPr>
        <w:t xml:space="preserve"> </w:t>
      </w:r>
      <w:r w:rsidR="00F35F97" w:rsidRPr="0068442A">
        <w:rPr>
          <w:rFonts w:ascii="Times New Roman" w:hAnsi="Times New Roman" w:cs="Times New Roman"/>
          <w:color w:val="231F20"/>
        </w:rPr>
        <w:t xml:space="preserve">or </w:t>
      </w:r>
      <w:r w:rsidR="005A6AE5" w:rsidRPr="0068442A">
        <w:rPr>
          <w:rFonts w:ascii="Times New Roman" w:hAnsi="Times New Roman" w:cs="Times New Roman"/>
          <w:color w:val="231F20"/>
        </w:rPr>
        <w:t>girls</w:t>
      </w:r>
      <w:r w:rsidR="00F35F97" w:rsidRPr="0068442A">
        <w:rPr>
          <w:rFonts w:ascii="Times New Roman" w:hAnsi="Times New Roman" w:cs="Times New Roman"/>
          <w:color w:val="231F20"/>
        </w:rPr>
        <w:t>,</w:t>
      </w:r>
      <w:r w:rsidR="00F707AE" w:rsidRPr="0068442A">
        <w:rPr>
          <w:rFonts w:ascii="Times New Roman" w:hAnsi="Times New Roman" w:cs="Times New Roman"/>
          <w:color w:val="231F20"/>
        </w:rPr>
        <w:t xml:space="preserve"> ca</w:t>
      </w:r>
      <w:r w:rsidR="005A6AE5" w:rsidRPr="0068442A">
        <w:rPr>
          <w:rFonts w:ascii="Times New Roman" w:hAnsi="Times New Roman" w:cs="Times New Roman"/>
          <w:color w:val="231F20"/>
        </w:rPr>
        <w:t>n</w:t>
      </w:r>
      <w:r w:rsidR="00111718" w:rsidRPr="0068442A">
        <w:rPr>
          <w:rFonts w:ascii="Times New Roman" w:hAnsi="Times New Roman" w:cs="Times New Roman"/>
          <w:color w:val="231F20"/>
        </w:rPr>
        <w:t xml:space="preserve"> only</w:t>
      </w:r>
      <w:r w:rsidR="005A6AE5" w:rsidRPr="0068442A">
        <w:rPr>
          <w:rFonts w:ascii="Times New Roman" w:hAnsi="Times New Roman" w:cs="Times New Roman"/>
          <w:color w:val="231F20"/>
        </w:rPr>
        <w:t xml:space="preserve"> </w:t>
      </w:r>
      <w:r w:rsidR="00162FC9" w:rsidRPr="0068442A">
        <w:rPr>
          <w:rFonts w:ascii="Times New Roman" w:hAnsi="Times New Roman" w:cs="Times New Roman"/>
          <w:color w:val="231F20"/>
        </w:rPr>
        <w:t>promote</w:t>
      </w:r>
      <w:r w:rsidR="005A6AE5" w:rsidRPr="0068442A">
        <w:rPr>
          <w:rFonts w:ascii="Times New Roman" w:hAnsi="Times New Roman" w:cs="Times New Roman"/>
          <w:color w:val="231F20"/>
        </w:rPr>
        <w:t xml:space="preserve"> economic development by ensuring that </w:t>
      </w:r>
      <w:r w:rsidR="006A0448" w:rsidRPr="0068442A">
        <w:rPr>
          <w:rFonts w:ascii="Times New Roman" w:hAnsi="Times New Roman" w:cs="Times New Roman"/>
          <w:color w:val="231F20"/>
        </w:rPr>
        <w:t xml:space="preserve">a </w:t>
      </w:r>
      <w:r w:rsidR="005A6AE5" w:rsidRPr="0068442A">
        <w:rPr>
          <w:rFonts w:ascii="Times New Roman" w:hAnsi="Times New Roman" w:cs="Times New Roman"/>
          <w:color w:val="231F20"/>
        </w:rPr>
        <w:t>certain number of girls are</w:t>
      </w:r>
      <w:r w:rsidR="006A0448" w:rsidRPr="0068442A">
        <w:rPr>
          <w:rFonts w:ascii="Times New Roman" w:hAnsi="Times New Roman" w:cs="Times New Roman"/>
          <w:color w:val="231F20"/>
        </w:rPr>
        <w:t xml:space="preserve"> </w:t>
      </w:r>
      <w:r w:rsidR="005A6AE5" w:rsidRPr="0068442A">
        <w:rPr>
          <w:rFonts w:ascii="Times New Roman" w:hAnsi="Times New Roman" w:cs="Times New Roman"/>
          <w:color w:val="231F20"/>
        </w:rPr>
        <w:t>in the education system</w:t>
      </w:r>
      <w:r w:rsidR="006A0448" w:rsidRPr="0068442A">
        <w:rPr>
          <w:rFonts w:ascii="Times New Roman" w:hAnsi="Times New Roman" w:cs="Times New Roman"/>
          <w:color w:val="231F20"/>
        </w:rPr>
        <w:t>,</w:t>
      </w:r>
      <w:r w:rsidR="005A6AE5" w:rsidRPr="0068442A">
        <w:rPr>
          <w:rFonts w:ascii="Times New Roman" w:hAnsi="Times New Roman" w:cs="Times New Roman"/>
          <w:color w:val="231F20"/>
        </w:rPr>
        <w:t xml:space="preserve"> but </w:t>
      </w:r>
      <w:r w:rsidR="00287C20" w:rsidRPr="0068442A">
        <w:rPr>
          <w:rFonts w:ascii="Times New Roman" w:hAnsi="Times New Roman" w:cs="Times New Roman"/>
          <w:color w:val="231F20"/>
        </w:rPr>
        <w:t>cannot address</w:t>
      </w:r>
      <w:r w:rsidR="005A6AE5" w:rsidRPr="0068442A">
        <w:rPr>
          <w:rFonts w:ascii="Times New Roman" w:hAnsi="Times New Roman" w:cs="Times New Roman"/>
          <w:color w:val="231F20"/>
        </w:rPr>
        <w:t xml:space="preserve"> the qualitative aspects of gender equality that could improve girls’ and women’s lives. Therefore, establishing policy goals r</w:t>
      </w:r>
      <w:r w:rsidR="004314EE" w:rsidRPr="0068442A">
        <w:rPr>
          <w:rFonts w:ascii="Times New Roman" w:hAnsi="Times New Roman" w:cs="Times New Roman"/>
          <w:color w:val="231F20"/>
        </w:rPr>
        <w:t>equires bottom-up contribution</w:t>
      </w:r>
      <w:r w:rsidR="008E3D95" w:rsidRPr="0068442A">
        <w:rPr>
          <w:rFonts w:ascii="Times New Roman" w:hAnsi="Times New Roman" w:cs="Times New Roman"/>
          <w:color w:val="231F20"/>
        </w:rPr>
        <w:t>s</w:t>
      </w:r>
      <w:r w:rsidR="004314EE" w:rsidRPr="0068442A">
        <w:rPr>
          <w:rFonts w:ascii="Times New Roman" w:hAnsi="Times New Roman" w:cs="Times New Roman"/>
          <w:color w:val="231F20"/>
        </w:rPr>
        <w:t xml:space="preserve"> </w:t>
      </w:r>
      <w:r w:rsidR="005A6AE5" w:rsidRPr="0068442A">
        <w:rPr>
          <w:rFonts w:ascii="Times New Roman" w:hAnsi="Times New Roman" w:cs="Times New Roman"/>
          <w:color w:val="231F20"/>
        </w:rPr>
        <w:t xml:space="preserve">where problems such as implementation, negative conversion factors, </w:t>
      </w:r>
      <w:r w:rsidR="008E3D95" w:rsidRPr="0068442A">
        <w:rPr>
          <w:rFonts w:ascii="Times New Roman" w:hAnsi="Times New Roman" w:cs="Times New Roman"/>
          <w:color w:val="231F20"/>
        </w:rPr>
        <w:t xml:space="preserve">and </w:t>
      </w:r>
      <w:r w:rsidR="005A6AE5" w:rsidRPr="0068442A">
        <w:rPr>
          <w:rFonts w:ascii="Times New Roman" w:hAnsi="Times New Roman" w:cs="Times New Roman"/>
          <w:color w:val="231F20"/>
        </w:rPr>
        <w:t xml:space="preserve">structural and relational challenges arising from </w:t>
      </w:r>
      <w:r w:rsidR="008E3D95" w:rsidRPr="0068442A">
        <w:rPr>
          <w:rFonts w:ascii="Times New Roman" w:hAnsi="Times New Roman" w:cs="Times New Roman"/>
          <w:color w:val="231F20"/>
        </w:rPr>
        <w:t xml:space="preserve">the </w:t>
      </w:r>
      <w:r w:rsidR="005A6AE5" w:rsidRPr="0068442A">
        <w:rPr>
          <w:rFonts w:ascii="Times New Roman" w:hAnsi="Times New Roman" w:cs="Times New Roman"/>
          <w:color w:val="231F20"/>
        </w:rPr>
        <w:t xml:space="preserve">top-down approach can be </w:t>
      </w:r>
      <w:r w:rsidR="004314EE" w:rsidRPr="0068442A">
        <w:rPr>
          <w:rFonts w:ascii="Times New Roman" w:hAnsi="Times New Roman" w:cs="Times New Roman"/>
          <w:color w:val="231F20"/>
        </w:rPr>
        <w:t>identified</w:t>
      </w:r>
      <w:r w:rsidR="005A6AE5" w:rsidRPr="0068442A">
        <w:rPr>
          <w:rFonts w:ascii="Times New Roman" w:hAnsi="Times New Roman" w:cs="Times New Roman"/>
          <w:color w:val="231F20"/>
        </w:rPr>
        <w:t xml:space="preserve"> and </w:t>
      </w:r>
      <w:r w:rsidR="00741E69" w:rsidRPr="0068442A">
        <w:rPr>
          <w:rFonts w:ascii="Times New Roman" w:hAnsi="Times New Roman" w:cs="Times New Roman"/>
          <w:color w:val="231F20"/>
        </w:rPr>
        <w:t xml:space="preserve">used to </w:t>
      </w:r>
      <w:r w:rsidR="005A6AE5" w:rsidRPr="0068442A">
        <w:rPr>
          <w:rFonts w:ascii="Times New Roman" w:hAnsi="Times New Roman" w:cs="Times New Roman"/>
          <w:color w:val="231F20"/>
        </w:rPr>
        <w:t xml:space="preserve">serve as an informational basis for policy development. A failure to </w:t>
      </w:r>
      <w:r w:rsidR="008E3D95" w:rsidRPr="0068442A">
        <w:rPr>
          <w:rFonts w:ascii="Times New Roman" w:hAnsi="Times New Roman" w:cs="Times New Roman"/>
          <w:color w:val="231F20"/>
        </w:rPr>
        <w:t xml:space="preserve">do so </w:t>
      </w:r>
      <w:r w:rsidR="00EC15D8" w:rsidRPr="0068442A">
        <w:rPr>
          <w:rFonts w:ascii="Times New Roman" w:hAnsi="Times New Roman" w:cs="Times New Roman"/>
          <w:color w:val="231F20"/>
        </w:rPr>
        <w:t>would</w:t>
      </w:r>
      <w:r w:rsidR="005A6AE5" w:rsidRPr="0068442A">
        <w:rPr>
          <w:rFonts w:ascii="Times New Roman" w:hAnsi="Times New Roman" w:cs="Times New Roman"/>
          <w:color w:val="231F20"/>
        </w:rPr>
        <w:t xml:space="preserve"> only reflect the political and power influences shaping policies</w:t>
      </w:r>
      <w:r w:rsidR="008E3D95" w:rsidRPr="0068442A">
        <w:rPr>
          <w:rFonts w:ascii="Times New Roman" w:hAnsi="Times New Roman" w:cs="Times New Roman"/>
          <w:color w:val="231F20"/>
        </w:rPr>
        <w:t>,</w:t>
      </w:r>
      <w:r w:rsidR="005A6AE5" w:rsidRPr="0068442A">
        <w:rPr>
          <w:rFonts w:ascii="Times New Roman" w:hAnsi="Times New Roman" w:cs="Times New Roman"/>
          <w:color w:val="231F20"/>
        </w:rPr>
        <w:t xml:space="preserve"> as in </w:t>
      </w:r>
      <w:r w:rsidR="008E3D95" w:rsidRPr="0068442A">
        <w:rPr>
          <w:rFonts w:ascii="Times New Roman" w:hAnsi="Times New Roman" w:cs="Times New Roman"/>
          <w:color w:val="231F20"/>
        </w:rPr>
        <w:t>the</w:t>
      </w:r>
      <w:r w:rsidR="005A6AE5" w:rsidRPr="0068442A">
        <w:rPr>
          <w:rFonts w:ascii="Times New Roman" w:hAnsi="Times New Roman" w:cs="Times New Roman"/>
          <w:color w:val="231F20"/>
        </w:rPr>
        <w:t xml:space="preserve"> 4+ reform, in which neo-conservative values</w:t>
      </w:r>
      <w:r w:rsidR="00B74211" w:rsidRPr="0068442A">
        <w:rPr>
          <w:rFonts w:ascii="Times New Roman" w:hAnsi="Times New Roman" w:cs="Times New Roman"/>
          <w:color w:val="231F20"/>
        </w:rPr>
        <w:t xml:space="preserve"> (</w:t>
      </w:r>
      <w:r w:rsidR="00B74211" w:rsidRPr="0068442A">
        <w:rPr>
          <w:rStyle w:val="st"/>
          <w:rFonts w:ascii="Times New Roman" w:hAnsi="Times New Roman" w:cs="Times New Roman"/>
        </w:rPr>
        <w:t xml:space="preserve">introducing religious </w:t>
      </w:r>
      <w:r w:rsidR="00B74211" w:rsidRPr="0068442A">
        <w:rPr>
          <w:rStyle w:val="Emphasis"/>
          <w:rFonts w:ascii="Times New Roman" w:hAnsi="Times New Roman" w:cs="Times New Roman"/>
        </w:rPr>
        <w:t>values</w:t>
      </w:r>
      <w:r w:rsidR="00B74211" w:rsidRPr="0068442A">
        <w:rPr>
          <w:rStyle w:val="st"/>
          <w:rFonts w:ascii="Times New Roman" w:hAnsi="Times New Roman" w:cs="Times New Roman"/>
        </w:rPr>
        <w:t xml:space="preserve"> both in their programs and political behaviour)</w:t>
      </w:r>
      <w:r w:rsidR="005A6AE5" w:rsidRPr="0068442A">
        <w:rPr>
          <w:rFonts w:ascii="Times New Roman" w:hAnsi="Times New Roman" w:cs="Times New Roman"/>
          <w:color w:val="231F20"/>
        </w:rPr>
        <w:t xml:space="preserve"> and </w:t>
      </w:r>
      <w:r w:rsidR="008E3D95" w:rsidRPr="0068442A">
        <w:rPr>
          <w:rFonts w:ascii="Times New Roman" w:hAnsi="Times New Roman" w:cs="Times New Roman"/>
          <w:color w:val="231F20"/>
        </w:rPr>
        <w:t xml:space="preserve">the </w:t>
      </w:r>
      <w:r w:rsidR="005A6AE5" w:rsidRPr="0068442A">
        <w:rPr>
          <w:rFonts w:ascii="Times New Roman" w:hAnsi="Times New Roman" w:cs="Times New Roman"/>
          <w:color w:val="231F20"/>
        </w:rPr>
        <w:t>agenda of the government are</w:t>
      </w:r>
      <w:r w:rsidR="00D71C2A" w:rsidRPr="0068442A">
        <w:rPr>
          <w:rFonts w:ascii="Times New Roman" w:hAnsi="Times New Roman" w:cs="Times New Roman"/>
          <w:color w:val="231F20"/>
        </w:rPr>
        <w:t xml:space="preserve"> partially</w:t>
      </w:r>
      <w:r w:rsidR="005A6AE5" w:rsidRPr="0068442A">
        <w:rPr>
          <w:rFonts w:ascii="Times New Roman" w:hAnsi="Times New Roman" w:cs="Times New Roman"/>
          <w:color w:val="231F20"/>
        </w:rPr>
        <w:t xml:space="preserve"> incorporated</w:t>
      </w:r>
      <w:r w:rsidR="00B74211" w:rsidRPr="0068442A">
        <w:rPr>
          <w:rFonts w:ascii="Times New Roman" w:hAnsi="Times New Roman" w:cs="Times New Roman"/>
          <w:color w:val="231F20"/>
        </w:rPr>
        <w:t xml:space="preserve"> in education system</w:t>
      </w:r>
      <w:r w:rsidR="00D71C2A" w:rsidRPr="0068442A">
        <w:rPr>
          <w:rFonts w:ascii="Times New Roman" w:hAnsi="Times New Roman" w:cs="Times New Roman"/>
          <w:color w:val="231F20"/>
        </w:rPr>
        <w:t>. As a result</w:t>
      </w:r>
      <w:r w:rsidR="00741E69" w:rsidRPr="0068442A">
        <w:rPr>
          <w:rFonts w:ascii="Times New Roman" w:hAnsi="Times New Roman" w:cs="Times New Roman"/>
          <w:color w:val="231F20"/>
        </w:rPr>
        <w:t>,</w:t>
      </w:r>
      <w:r w:rsidR="00D71C2A" w:rsidRPr="0068442A">
        <w:rPr>
          <w:rFonts w:ascii="Times New Roman" w:hAnsi="Times New Roman" w:cs="Times New Roman"/>
          <w:color w:val="231F20"/>
        </w:rPr>
        <w:t xml:space="preserve"> the reform sets</w:t>
      </w:r>
      <w:r w:rsidR="004314EE" w:rsidRPr="0068442A">
        <w:rPr>
          <w:rFonts w:ascii="Times New Roman" w:hAnsi="Times New Roman" w:cs="Times New Roman"/>
          <w:color w:val="231F20"/>
        </w:rPr>
        <w:t xml:space="preserve"> a moral-religious compass for education and crea</w:t>
      </w:r>
      <w:r w:rsidR="00CC1965" w:rsidRPr="0068442A">
        <w:rPr>
          <w:rFonts w:ascii="Times New Roman" w:hAnsi="Times New Roman" w:cs="Times New Roman"/>
          <w:color w:val="231F20"/>
        </w:rPr>
        <w:t xml:space="preserve">tes </w:t>
      </w:r>
      <w:r w:rsidR="00EC15D8" w:rsidRPr="0068442A">
        <w:rPr>
          <w:rFonts w:ascii="Times New Roman" w:hAnsi="Times New Roman" w:cs="Times New Roman"/>
          <w:color w:val="231F20"/>
        </w:rPr>
        <w:t>a</w:t>
      </w:r>
      <w:r w:rsidR="004314EE" w:rsidRPr="0068442A">
        <w:rPr>
          <w:rFonts w:ascii="Times New Roman" w:hAnsi="Times New Roman" w:cs="Times New Roman"/>
          <w:color w:val="231F20"/>
        </w:rPr>
        <w:t xml:space="preserve"> culture based on religiosity through promoting single-sex education within the religious schools and prioritising these schools. </w:t>
      </w:r>
    </w:p>
    <w:p w14:paraId="4EA307AC" w14:textId="471A19F5" w:rsidR="004314EE" w:rsidRPr="0068442A" w:rsidRDefault="004314EE" w:rsidP="00BF1E10">
      <w:pPr>
        <w:autoSpaceDE w:val="0"/>
        <w:autoSpaceDN w:val="0"/>
        <w:adjustRightInd w:val="0"/>
        <w:spacing w:after="0" w:line="360" w:lineRule="auto"/>
        <w:ind w:firstLine="720"/>
        <w:jc w:val="both"/>
        <w:rPr>
          <w:rFonts w:ascii="Times New Roman" w:hAnsi="Times New Roman" w:cs="Times New Roman"/>
          <w:color w:val="231F20"/>
        </w:rPr>
      </w:pPr>
      <w:r w:rsidRPr="0068442A">
        <w:rPr>
          <w:rFonts w:ascii="Times New Roman" w:hAnsi="Times New Roman" w:cs="Times New Roman"/>
          <w:color w:val="231F20"/>
        </w:rPr>
        <w:lastRenderedPageBreak/>
        <w:t>We argue that Turkey needs a comprehensive understanding of gender equality in educational policy-making that could dismantle conservative and gendered structures</w:t>
      </w:r>
      <w:r w:rsidR="00350C49" w:rsidRPr="0068442A">
        <w:rPr>
          <w:rFonts w:ascii="Times New Roman" w:hAnsi="Times New Roman" w:cs="Times New Roman"/>
          <w:color w:val="231F20"/>
        </w:rPr>
        <w:t>,</w:t>
      </w:r>
      <w:r w:rsidR="00726769" w:rsidRPr="0068442A">
        <w:rPr>
          <w:rFonts w:ascii="Times New Roman" w:hAnsi="Times New Roman" w:cs="Times New Roman"/>
          <w:color w:val="231F20"/>
        </w:rPr>
        <w:t xml:space="preserve"> </w:t>
      </w:r>
      <w:r w:rsidR="00F90774">
        <w:rPr>
          <w:rFonts w:ascii="Times New Roman" w:hAnsi="Times New Roman" w:cs="Times New Roman"/>
          <w:color w:val="231F20"/>
        </w:rPr>
        <w:t>which</w:t>
      </w:r>
      <w:r w:rsidR="00F90774" w:rsidRPr="0068442A">
        <w:rPr>
          <w:rFonts w:ascii="Times New Roman" w:hAnsi="Times New Roman" w:cs="Times New Roman"/>
          <w:color w:val="231F20"/>
        </w:rPr>
        <w:t xml:space="preserve"> </w:t>
      </w:r>
      <w:r w:rsidR="00BC19F0" w:rsidRPr="0068442A">
        <w:rPr>
          <w:rFonts w:ascii="Times New Roman" w:hAnsi="Times New Roman" w:cs="Times New Roman"/>
          <w:color w:val="231F20"/>
        </w:rPr>
        <w:t xml:space="preserve">would </w:t>
      </w:r>
      <w:r w:rsidR="00726769" w:rsidRPr="0068442A">
        <w:rPr>
          <w:rFonts w:ascii="Times New Roman" w:hAnsi="Times New Roman" w:cs="Times New Roman"/>
          <w:color w:val="231F20"/>
        </w:rPr>
        <w:t>also focus on boys</w:t>
      </w:r>
      <w:r w:rsidR="00370AA3" w:rsidRPr="0068442A">
        <w:rPr>
          <w:rFonts w:ascii="Times New Roman" w:hAnsi="Times New Roman" w:cs="Times New Roman"/>
          <w:color w:val="231F20"/>
        </w:rPr>
        <w:t>. These structures</w:t>
      </w:r>
      <w:r w:rsidRPr="0068442A">
        <w:rPr>
          <w:rFonts w:ascii="Times New Roman" w:hAnsi="Times New Roman" w:cs="Times New Roman"/>
          <w:color w:val="231F20"/>
        </w:rPr>
        <w:t xml:space="preserve"> impact girls’ schooling experiences, opportunities</w:t>
      </w:r>
      <w:r w:rsidR="00370AA3" w:rsidRPr="0068442A">
        <w:rPr>
          <w:rFonts w:ascii="Times New Roman" w:hAnsi="Times New Roman" w:cs="Times New Roman"/>
          <w:color w:val="231F20"/>
        </w:rPr>
        <w:t>,</w:t>
      </w:r>
      <w:r w:rsidRPr="0068442A">
        <w:rPr>
          <w:rFonts w:ascii="Times New Roman" w:hAnsi="Times New Roman" w:cs="Times New Roman"/>
          <w:color w:val="231F20"/>
        </w:rPr>
        <w:t xml:space="preserve"> and </w:t>
      </w:r>
      <w:r w:rsidR="00F45DFA" w:rsidRPr="0068442A">
        <w:rPr>
          <w:rFonts w:ascii="Times New Roman" w:hAnsi="Times New Roman" w:cs="Times New Roman"/>
          <w:color w:val="231F20"/>
        </w:rPr>
        <w:t>access</w:t>
      </w:r>
      <w:r w:rsidR="00370AA3" w:rsidRPr="0068442A">
        <w:rPr>
          <w:rFonts w:ascii="Times New Roman" w:hAnsi="Times New Roman" w:cs="Times New Roman"/>
          <w:color w:val="231F20"/>
        </w:rPr>
        <w:t xml:space="preserve">; </w:t>
      </w:r>
      <w:r w:rsidR="006241A7" w:rsidRPr="0068442A">
        <w:rPr>
          <w:rFonts w:ascii="Times New Roman" w:hAnsi="Times New Roman" w:cs="Times New Roman"/>
          <w:color w:val="231F20"/>
        </w:rPr>
        <w:t xml:space="preserve">challenging </w:t>
      </w:r>
      <w:r w:rsidR="00370AA3" w:rsidRPr="0068442A">
        <w:rPr>
          <w:rFonts w:ascii="Times New Roman" w:hAnsi="Times New Roman" w:cs="Times New Roman"/>
          <w:color w:val="231F20"/>
        </w:rPr>
        <w:t xml:space="preserve">them would </w:t>
      </w:r>
      <w:r w:rsidR="00F45DFA" w:rsidRPr="0068442A">
        <w:rPr>
          <w:rFonts w:ascii="Times New Roman" w:hAnsi="Times New Roman" w:cs="Times New Roman"/>
          <w:color w:val="231F20"/>
        </w:rPr>
        <w:t xml:space="preserve">build a more gender just society, which is identified in </w:t>
      </w:r>
      <w:r w:rsidR="00370AA3" w:rsidRPr="0068442A">
        <w:rPr>
          <w:rFonts w:ascii="Times New Roman" w:hAnsi="Times New Roman" w:cs="Times New Roman"/>
          <w:color w:val="231F20"/>
        </w:rPr>
        <w:t xml:space="preserve">the </w:t>
      </w:r>
      <w:r w:rsidR="00F45DFA" w:rsidRPr="0068442A">
        <w:rPr>
          <w:rFonts w:ascii="Times New Roman" w:hAnsi="Times New Roman" w:cs="Times New Roman"/>
          <w:color w:val="231F20"/>
        </w:rPr>
        <w:t xml:space="preserve">SDG goals that Turkey ratified and </w:t>
      </w:r>
      <w:r w:rsidR="0057620B" w:rsidRPr="0068442A">
        <w:rPr>
          <w:rFonts w:ascii="Times New Roman" w:hAnsi="Times New Roman" w:cs="Times New Roman"/>
          <w:color w:val="231F20"/>
        </w:rPr>
        <w:t xml:space="preserve">is </w:t>
      </w:r>
      <w:r w:rsidR="00F45DFA" w:rsidRPr="0068442A">
        <w:rPr>
          <w:rFonts w:ascii="Times New Roman" w:hAnsi="Times New Roman" w:cs="Times New Roman"/>
          <w:color w:val="231F20"/>
        </w:rPr>
        <w:t xml:space="preserve">explicitly stated in the development goals of the government. A capability-informed gender equality has a lot to offer in thinking </w:t>
      </w:r>
      <w:r w:rsidR="00287C20" w:rsidRPr="0068442A">
        <w:rPr>
          <w:rFonts w:ascii="Times New Roman" w:hAnsi="Times New Roman" w:cs="Times New Roman"/>
          <w:color w:val="231F20"/>
        </w:rPr>
        <w:t>about</w:t>
      </w:r>
      <w:r w:rsidR="00F45DFA" w:rsidRPr="0068442A">
        <w:rPr>
          <w:rFonts w:ascii="Times New Roman" w:hAnsi="Times New Roman" w:cs="Times New Roman"/>
          <w:color w:val="231F20"/>
        </w:rPr>
        <w:t xml:space="preserve"> how to transform social structures, confinements</w:t>
      </w:r>
      <w:r w:rsidR="00C67CF8" w:rsidRPr="0068442A">
        <w:rPr>
          <w:rFonts w:ascii="Times New Roman" w:hAnsi="Times New Roman" w:cs="Times New Roman"/>
          <w:color w:val="231F20"/>
        </w:rPr>
        <w:t>,</w:t>
      </w:r>
      <w:r w:rsidR="00F45DFA" w:rsidRPr="0068442A">
        <w:rPr>
          <w:rFonts w:ascii="Times New Roman" w:hAnsi="Times New Roman" w:cs="Times New Roman"/>
          <w:color w:val="231F20"/>
        </w:rPr>
        <w:t xml:space="preserve"> and institutions </w:t>
      </w:r>
      <w:r w:rsidR="00EF3337" w:rsidRPr="0068442A">
        <w:rPr>
          <w:rFonts w:ascii="Times New Roman" w:hAnsi="Times New Roman" w:cs="Times New Roman"/>
          <w:color w:val="231F20"/>
        </w:rPr>
        <w:t xml:space="preserve">to empower girls and give them room to manoeuvre to achieve their interests and aspirations. </w:t>
      </w:r>
      <w:r w:rsidR="00F45DFA" w:rsidRPr="0068442A">
        <w:rPr>
          <w:rFonts w:ascii="Times New Roman" w:hAnsi="Times New Roman" w:cs="Times New Roman"/>
          <w:color w:val="231F20"/>
        </w:rPr>
        <w:t xml:space="preserve">Considering the vast </w:t>
      </w:r>
      <w:r w:rsidR="00925A51" w:rsidRPr="0068442A">
        <w:rPr>
          <w:rFonts w:ascii="Times New Roman" w:hAnsi="Times New Roman" w:cs="Times New Roman"/>
          <w:color w:val="231F20"/>
        </w:rPr>
        <w:t xml:space="preserve">number </w:t>
      </w:r>
      <w:r w:rsidR="00F45DFA" w:rsidRPr="0068442A">
        <w:rPr>
          <w:rFonts w:ascii="Times New Roman" w:hAnsi="Times New Roman" w:cs="Times New Roman"/>
          <w:color w:val="231F20"/>
        </w:rPr>
        <w:t xml:space="preserve">of initiatives and campaigns launched in </w:t>
      </w:r>
      <w:r w:rsidR="00773BFD" w:rsidRPr="0068442A">
        <w:rPr>
          <w:rFonts w:ascii="Times New Roman" w:hAnsi="Times New Roman" w:cs="Times New Roman"/>
          <w:color w:val="231F20"/>
        </w:rPr>
        <w:t>collaboration with MoNE, NGOs</w:t>
      </w:r>
      <w:r w:rsidR="00925A51" w:rsidRPr="0068442A">
        <w:rPr>
          <w:rFonts w:ascii="Times New Roman" w:hAnsi="Times New Roman" w:cs="Times New Roman"/>
          <w:color w:val="231F20"/>
        </w:rPr>
        <w:t>,</w:t>
      </w:r>
      <w:r w:rsidR="00773BFD" w:rsidRPr="0068442A">
        <w:rPr>
          <w:rFonts w:ascii="Times New Roman" w:hAnsi="Times New Roman" w:cs="Times New Roman"/>
          <w:color w:val="231F20"/>
        </w:rPr>
        <w:t xml:space="preserve"> and </w:t>
      </w:r>
      <w:r w:rsidR="00925A51" w:rsidRPr="0068442A">
        <w:rPr>
          <w:rFonts w:ascii="Times New Roman" w:hAnsi="Times New Roman" w:cs="Times New Roman"/>
          <w:color w:val="231F20"/>
        </w:rPr>
        <w:t xml:space="preserve">the </w:t>
      </w:r>
      <w:r w:rsidR="00773BFD" w:rsidRPr="0068442A">
        <w:rPr>
          <w:rFonts w:ascii="Times New Roman" w:hAnsi="Times New Roman" w:cs="Times New Roman"/>
          <w:color w:val="231F20"/>
        </w:rPr>
        <w:t>EU</w:t>
      </w:r>
      <w:r w:rsidR="00F45DFA" w:rsidRPr="0068442A">
        <w:rPr>
          <w:rFonts w:ascii="Times New Roman" w:hAnsi="Times New Roman" w:cs="Times New Roman"/>
          <w:color w:val="231F20"/>
        </w:rPr>
        <w:t xml:space="preserve"> (see </w:t>
      </w:r>
      <w:r w:rsidR="00155852" w:rsidRPr="0068442A">
        <w:rPr>
          <w:rFonts w:ascii="Times New Roman" w:hAnsi="Times New Roman" w:cs="Times New Roman"/>
          <w:color w:val="333333"/>
        </w:rPr>
        <w:t xml:space="preserve">Cin </w:t>
      </w:r>
      <w:r w:rsidR="00170DBF" w:rsidRPr="0068442A">
        <w:rPr>
          <w:rFonts w:ascii="Times New Roman" w:hAnsi="Times New Roman" w:cs="Times New Roman"/>
          <w:color w:val="333333"/>
        </w:rPr>
        <w:t>&amp;</w:t>
      </w:r>
      <w:r w:rsidR="00155852" w:rsidRPr="0068442A">
        <w:rPr>
          <w:rFonts w:ascii="Times New Roman" w:hAnsi="Times New Roman" w:cs="Times New Roman"/>
          <w:color w:val="333333"/>
        </w:rPr>
        <w:t xml:space="preserve"> Walker, 2016)</w:t>
      </w:r>
      <w:r w:rsidR="00773BFD" w:rsidRPr="0068442A">
        <w:rPr>
          <w:rFonts w:ascii="Times New Roman" w:hAnsi="Times New Roman" w:cs="Times New Roman"/>
          <w:color w:val="231F20"/>
        </w:rPr>
        <w:t xml:space="preserve"> to promote gender equality </w:t>
      </w:r>
      <w:r w:rsidR="00925A51" w:rsidRPr="0068442A">
        <w:rPr>
          <w:rFonts w:ascii="Times New Roman" w:hAnsi="Times New Roman" w:cs="Times New Roman"/>
          <w:color w:val="231F20"/>
        </w:rPr>
        <w:t>in</w:t>
      </w:r>
      <w:r w:rsidR="00773BFD" w:rsidRPr="0068442A">
        <w:rPr>
          <w:rFonts w:ascii="Times New Roman" w:hAnsi="Times New Roman" w:cs="Times New Roman"/>
          <w:color w:val="231F20"/>
        </w:rPr>
        <w:t xml:space="preserve"> schools, we argue that the issues surrounding equality and girls’ empowerment </w:t>
      </w:r>
      <w:r w:rsidR="00925A51" w:rsidRPr="0068442A">
        <w:rPr>
          <w:rFonts w:ascii="Times New Roman" w:hAnsi="Times New Roman" w:cs="Times New Roman"/>
          <w:color w:val="231F20"/>
        </w:rPr>
        <w:t xml:space="preserve">are </w:t>
      </w:r>
      <w:r w:rsidR="006241A7" w:rsidRPr="0068442A">
        <w:rPr>
          <w:rFonts w:ascii="Times New Roman" w:hAnsi="Times New Roman" w:cs="Times New Roman"/>
          <w:color w:val="231F20"/>
        </w:rPr>
        <w:t xml:space="preserve">still </w:t>
      </w:r>
      <w:r w:rsidR="00773BFD" w:rsidRPr="0068442A">
        <w:rPr>
          <w:rFonts w:ascii="Times New Roman" w:hAnsi="Times New Roman" w:cs="Times New Roman"/>
          <w:color w:val="231F20"/>
        </w:rPr>
        <w:t>priority issue</w:t>
      </w:r>
      <w:r w:rsidR="00925A51" w:rsidRPr="0068442A">
        <w:rPr>
          <w:rFonts w:ascii="Times New Roman" w:hAnsi="Times New Roman" w:cs="Times New Roman"/>
          <w:color w:val="231F20"/>
        </w:rPr>
        <w:t>s</w:t>
      </w:r>
      <w:r w:rsidR="00773BFD" w:rsidRPr="0068442A">
        <w:rPr>
          <w:rFonts w:ascii="Times New Roman" w:hAnsi="Times New Roman" w:cs="Times New Roman"/>
          <w:color w:val="231F20"/>
        </w:rPr>
        <w:t xml:space="preserve"> for the government</w:t>
      </w:r>
      <w:r w:rsidR="00925A51" w:rsidRPr="0068442A">
        <w:rPr>
          <w:rFonts w:ascii="Times New Roman" w:hAnsi="Times New Roman" w:cs="Times New Roman"/>
          <w:color w:val="231F20"/>
        </w:rPr>
        <w:t>.</w:t>
      </w:r>
      <w:r w:rsidR="0066109E" w:rsidRPr="0068442A">
        <w:rPr>
          <w:rFonts w:ascii="Times New Roman" w:hAnsi="Times New Roman" w:cs="Times New Roman"/>
          <w:color w:val="231F20"/>
        </w:rPr>
        <w:t xml:space="preserve"> </w:t>
      </w:r>
      <w:r w:rsidR="00925A51" w:rsidRPr="0068442A">
        <w:rPr>
          <w:rFonts w:ascii="Times New Roman" w:hAnsi="Times New Roman" w:cs="Times New Roman"/>
          <w:color w:val="231F20"/>
        </w:rPr>
        <w:t>However,</w:t>
      </w:r>
      <w:r w:rsidR="00773BFD" w:rsidRPr="0068442A">
        <w:rPr>
          <w:rFonts w:ascii="Times New Roman" w:hAnsi="Times New Roman" w:cs="Times New Roman"/>
          <w:color w:val="231F20"/>
        </w:rPr>
        <w:t xml:space="preserve"> lack of political will in reflecting th</w:t>
      </w:r>
      <w:r w:rsidR="00925A51" w:rsidRPr="0068442A">
        <w:rPr>
          <w:rFonts w:ascii="Times New Roman" w:hAnsi="Times New Roman" w:cs="Times New Roman"/>
          <w:color w:val="231F20"/>
        </w:rPr>
        <w:t>ese</w:t>
      </w:r>
      <w:r w:rsidR="00773BFD" w:rsidRPr="0068442A">
        <w:rPr>
          <w:rFonts w:ascii="Times New Roman" w:hAnsi="Times New Roman" w:cs="Times New Roman"/>
          <w:color w:val="231F20"/>
        </w:rPr>
        <w:t xml:space="preserve"> into policy goals and outcomes </w:t>
      </w:r>
      <w:r w:rsidR="00925A51" w:rsidRPr="0068442A">
        <w:rPr>
          <w:rFonts w:ascii="Times New Roman" w:hAnsi="Times New Roman" w:cs="Times New Roman"/>
          <w:color w:val="231F20"/>
        </w:rPr>
        <w:t xml:space="preserve">has withheld </w:t>
      </w:r>
      <w:r w:rsidR="00773BFD" w:rsidRPr="0068442A">
        <w:rPr>
          <w:rFonts w:ascii="Times New Roman" w:hAnsi="Times New Roman" w:cs="Times New Roman"/>
          <w:color w:val="231F20"/>
        </w:rPr>
        <w:t xml:space="preserve">transformative changes that could promote sustainable gender equality. </w:t>
      </w:r>
    </w:p>
    <w:p w14:paraId="5355E741" w14:textId="77777777" w:rsidR="00AF6F6A" w:rsidRPr="0068442A" w:rsidRDefault="00AF6F6A" w:rsidP="00BF1E10">
      <w:pPr>
        <w:autoSpaceDE w:val="0"/>
        <w:autoSpaceDN w:val="0"/>
        <w:adjustRightInd w:val="0"/>
        <w:spacing w:after="0" w:line="360" w:lineRule="auto"/>
        <w:jc w:val="both"/>
        <w:rPr>
          <w:rFonts w:ascii="Times New Roman" w:hAnsi="Times New Roman" w:cs="Times New Roman"/>
          <w:color w:val="231F20"/>
        </w:rPr>
      </w:pPr>
    </w:p>
    <w:p w14:paraId="76F37810" w14:textId="32961DCB" w:rsidR="00773BFD" w:rsidRPr="0068442A" w:rsidRDefault="009D3392" w:rsidP="00BF1E10">
      <w:pPr>
        <w:autoSpaceDE w:val="0"/>
        <w:autoSpaceDN w:val="0"/>
        <w:adjustRightInd w:val="0"/>
        <w:spacing w:after="0" w:line="360" w:lineRule="auto"/>
        <w:jc w:val="both"/>
        <w:rPr>
          <w:rStyle w:val="fontbold"/>
          <w:rFonts w:ascii="Times New Roman" w:hAnsi="Times New Roman" w:cs="Times New Roman"/>
          <w:b/>
        </w:rPr>
      </w:pPr>
      <w:r w:rsidRPr="0068442A">
        <w:rPr>
          <w:rFonts w:ascii="Times New Roman" w:hAnsi="Times New Roman" w:cs="Times New Roman"/>
          <w:b/>
          <w:color w:val="231F20"/>
        </w:rPr>
        <w:t>Conclusion</w:t>
      </w:r>
    </w:p>
    <w:p w14:paraId="11146D15" w14:textId="55C5B1E8" w:rsidR="00A0234F" w:rsidRPr="0068442A" w:rsidRDefault="00CC1965" w:rsidP="00BF1E10">
      <w:pPr>
        <w:spacing w:line="360" w:lineRule="auto"/>
        <w:jc w:val="both"/>
        <w:rPr>
          <w:rStyle w:val="fontbold"/>
          <w:rFonts w:ascii="Times New Roman" w:hAnsi="Times New Roman" w:cs="Times New Roman"/>
        </w:rPr>
      </w:pPr>
      <w:r w:rsidRPr="0068442A">
        <w:rPr>
          <w:rStyle w:val="fontbold"/>
          <w:rFonts w:ascii="Times New Roman" w:hAnsi="Times New Roman" w:cs="Times New Roman"/>
        </w:rPr>
        <w:t xml:space="preserve">This research offers an analysis of </w:t>
      </w:r>
      <w:r w:rsidR="004104F7" w:rsidRPr="0068442A">
        <w:rPr>
          <w:rStyle w:val="fontbold"/>
          <w:rFonts w:ascii="Times New Roman" w:hAnsi="Times New Roman" w:cs="Times New Roman"/>
        </w:rPr>
        <w:t xml:space="preserve">the </w:t>
      </w:r>
      <w:r w:rsidRPr="0068442A">
        <w:rPr>
          <w:rStyle w:val="fontbold"/>
          <w:rFonts w:ascii="Times New Roman" w:hAnsi="Times New Roman" w:cs="Times New Roman"/>
        </w:rPr>
        <w:t>4+ reform from a capabilities</w:t>
      </w:r>
      <w:r w:rsidR="004104F7" w:rsidRPr="0068442A">
        <w:rPr>
          <w:rStyle w:val="fontbold"/>
          <w:rFonts w:ascii="Times New Roman" w:hAnsi="Times New Roman" w:cs="Times New Roman"/>
        </w:rPr>
        <w:t>-</w:t>
      </w:r>
      <w:r w:rsidRPr="0068442A">
        <w:rPr>
          <w:rStyle w:val="fontbold"/>
          <w:rFonts w:ascii="Times New Roman" w:hAnsi="Times New Roman" w:cs="Times New Roman"/>
        </w:rPr>
        <w:t xml:space="preserve">based gender equality perspective by drawing </w:t>
      </w:r>
      <w:r w:rsidR="00950674">
        <w:rPr>
          <w:rStyle w:val="fontbold"/>
          <w:rFonts w:ascii="Times New Roman" w:hAnsi="Times New Roman" w:cs="Times New Roman"/>
        </w:rPr>
        <w:t>on</w:t>
      </w:r>
      <w:r w:rsidR="00950674" w:rsidRPr="0068442A">
        <w:rPr>
          <w:rStyle w:val="fontbold"/>
          <w:rFonts w:ascii="Times New Roman" w:hAnsi="Times New Roman" w:cs="Times New Roman"/>
        </w:rPr>
        <w:t xml:space="preserve"> </w:t>
      </w:r>
      <w:r w:rsidRPr="0068442A">
        <w:rPr>
          <w:rStyle w:val="fontbold"/>
          <w:rFonts w:ascii="Times New Roman" w:hAnsi="Times New Roman" w:cs="Times New Roman"/>
        </w:rPr>
        <w:t xml:space="preserve">16 interviews conducted </w:t>
      </w:r>
      <w:r w:rsidR="00950674">
        <w:rPr>
          <w:rStyle w:val="fontbold"/>
          <w:rFonts w:ascii="Times New Roman" w:hAnsi="Times New Roman" w:cs="Times New Roman"/>
        </w:rPr>
        <w:t>with</w:t>
      </w:r>
      <w:r w:rsidR="00950674" w:rsidRPr="0068442A">
        <w:rPr>
          <w:rStyle w:val="fontbold"/>
          <w:rFonts w:ascii="Times New Roman" w:hAnsi="Times New Roman" w:cs="Times New Roman"/>
        </w:rPr>
        <w:t xml:space="preserve"> </w:t>
      </w:r>
      <w:r w:rsidRPr="0068442A">
        <w:rPr>
          <w:rStyle w:val="fontbold"/>
          <w:rFonts w:ascii="Times New Roman" w:hAnsi="Times New Roman" w:cs="Times New Roman"/>
        </w:rPr>
        <w:t>stakeholders and practitioners.</w:t>
      </w:r>
      <w:r w:rsidR="0066109E" w:rsidRPr="0068442A">
        <w:rPr>
          <w:rStyle w:val="fontbold"/>
          <w:rFonts w:ascii="Times New Roman" w:hAnsi="Times New Roman" w:cs="Times New Roman"/>
        </w:rPr>
        <w:t xml:space="preserve"> </w:t>
      </w:r>
      <w:r w:rsidRPr="0068442A">
        <w:rPr>
          <w:rStyle w:val="fontbold"/>
          <w:rFonts w:ascii="Times New Roman" w:hAnsi="Times New Roman" w:cs="Times New Roman"/>
        </w:rPr>
        <w:t>We cannot generalise the outcomes of the reforms on girls</w:t>
      </w:r>
      <w:r w:rsidR="0035522B">
        <w:rPr>
          <w:rStyle w:val="fontbold"/>
          <w:rFonts w:ascii="Times New Roman" w:hAnsi="Times New Roman" w:cs="Times New Roman"/>
        </w:rPr>
        <w:t xml:space="preserve"> in Turkey</w:t>
      </w:r>
      <w:r w:rsidR="004104F7" w:rsidRPr="0068442A">
        <w:rPr>
          <w:rStyle w:val="fontbold"/>
          <w:rFonts w:ascii="Times New Roman" w:hAnsi="Times New Roman" w:cs="Times New Roman"/>
        </w:rPr>
        <w:t>,</w:t>
      </w:r>
      <w:r w:rsidRPr="0068442A">
        <w:rPr>
          <w:rStyle w:val="fontbold"/>
          <w:rFonts w:ascii="Times New Roman" w:hAnsi="Times New Roman" w:cs="Times New Roman"/>
        </w:rPr>
        <w:t xml:space="preserve"> as we only conducted interviews with teachers in Eastern Anatolia, where the gendered norms are most stratified. </w:t>
      </w:r>
      <w:r w:rsidR="00D32154" w:rsidRPr="0068442A">
        <w:rPr>
          <w:rStyle w:val="fontbold"/>
          <w:rFonts w:ascii="Times New Roman" w:hAnsi="Times New Roman" w:cs="Times New Roman"/>
        </w:rPr>
        <w:t>Nevertheless</w:t>
      </w:r>
      <w:r w:rsidRPr="0068442A">
        <w:rPr>
          <w:rStyle w:val="fontbold"/>
          <w:rFonts w:ascii="Times New Roman" w:hAnsi="Times New Roman" w:cs="Times New Roman"/>
        </w:rPr>
        <w:t xml:space="preserve">, the results </w:t>
      </w:r>
      <w:r w:rsidR="008F0108" w:rsidRPr="0068442A">
        <w:rPr>
          <w:rStyle w:val="fontbold"/>
          <w:rFonts w:ascii="Times New Roman" w:hAnsi="Times New Roman" w:cs="Times New Roman"/>
        </w:rPr>
        <w:t>reveal</w:t>
      </w:r>
      <w:r w:rsidRPr="0068442A">
        <w:rPr>
          <w:rStyle w:val="fontbold"/>
          <w:rFonts w:ascii="Times New Roman" w:hAnsi="Times New Roman" w:cs="Times New Roman"/>
        </w:rPr>
        <w:t xml:space="preserve"> the underpinning rationale in terms of how little concern is given to gender </w:t>
      </w:r>
      <w:r w:rsidR="009D3392" w:rsidRPr="0068442A">
        <w:rPr>
          <w:rStyle w:val="fontbold"/>
          <w:rFonts w:ascii="Times New Roman" w:hAnsi="Times New Roman" w:cs="Times New Roman"/>
        </w:rPr>
        <w:t>equality and how it impacts</w:t>
      </w:r>
      <w:r w:rsidR="00A0234F" w:rsidRPr="0068442A">
        <w:rPr>
          <w:rStyle w:val="fontbold"/>
          <w:rFonts w:ascii="Times New Roman" w:hAnsi="Times New Roman" w:cs="Times New Roman"/>
        </w:rPr>
        <w:t xml:space="preserve"> girls’ educational experiences</w:t>
      </w:r>
      <w:r w:rsidR="00B94D00" w:rsidRPr="0068442A">
        <w:rPr>
          <w:rStyle w:val="fontbold"/>
          <w:rFonts w:ascii="Times New Roman" w:hAnsi="Times New Roman" w:cs="Times New Roman"/>
        </w:rPr>
        <w:t>—</w:t>
      </w:r>
      <w:r w:rsidR="00A0234F" w:rsidRPr="0068442A">
        <w:rPr>
          <w:rStyle w:val="fontbold"/>
          <w:rFonts w:ascii="Times New Roman" w:hAnsi="Times New Roman" w:cs="Times New Roman"/>
        </w:rPr>
        <w:t xml:space="preserve">yet we could see that both practitioners and stakeholders influencing the decision makers keep boys’ education out of gender equality claims and take girls as the point of reference. Although </w:t>
      </w:r>
      <w:r w:rsidR="006C0C04" w:rsidRPr="0068442A">
        <w:rPr>
          <w:rStyle w:val="fontbold"/>
          <w:rFonts w:ascii="Times New Roman" w:hAnsi="Times New Roman" w:cs="Times New Roman"/>
        </w:rPr>
        <w:t xml:space="preserve">the </w:t>
      </w:r>
      <w:r w:rsidR="00A0234F" w:rsidRPr="0068442A">
        <w:rPr>
          <w:rStyle w:val="fontbold"/>
          <w:rFonts w:ascii="Times New Roman" w:hAnsi="Times New Roman" w:cs="Times New Roman"/>
        </w:rPr>
        <w:t xml:space="preserve">education and schooling </w:t>
      </w:r>
      <w:r w:rsidR="006C0C04" w:rsidRPr="0068442A">
        <w:rPr>
          <w:rStyle w:val="fontbold"/>
          <w:rFonts w:ascii="Times New Roman" w:hAnsi="Times New Roman" w:cs="Times New Roman"/>
        </w:rPr>
        <w:t xml:space="preserve">of girls </w:t>
      </w:r>
      <w:r w:rsidR="0035522B" w:rsidRPr="0068442A">
        <w:rPr>
          <w:rStyle w:val="fontbold"/>
          <w:rFonts w:ascii="Times New Roman" w:hAnsi="Times New Roman" w:cs="Times New Roman"/>
        </w:rPr>
        <w:t xml:space="preserve">in Turkey </w:t>
      </w:r>
      <w:r w:rsidR="006C0C04" w:rsidRPr="0068442A">
        <w:rPr>
          <w:rStyle w:val="fontbold"/>
          <w:rFonts w:ascii="Times New Roman" w:hAnsi="Times New Roman" w:cs="Times New Roman"/>
        </w:rPr>
        <w:t xml:space="preserve">is </w:t>
      </w:r>
      <w:r w:rsidR="00A0234F" w:rsidRPr="0068442A">
        <w:rPr>
          <w:rStyle w:val="fontbold"/>
          <w:rFonts w:ascii="Times New Roman" w:hAnsi="Times New Roman" w:cs="Times New Roman"/>
        </w:rPr>
        <w:t xml:space="preserve">more at stake than </w:t>
      </w:r>
      <w:r w:rsidR="006C0C04" w:rsidRPr="0068442A">
        <w:rPr>
          <w:rStyle w:val="fontbold"/>
          <w:rFonts w:ascii="Times New Roman" w:hAnsi="Times New Roman" w:cs="Times New Roman"/>
        </w:rPr>
        <w:t xml:space="preserve">that of </w:t>
      </w:r>
      <w:r w:rsidR="00A0234F" w:rsidRPr="0068442A">
        <w:rPr>
          <w:rStyle w:val="fontbold"/>
          <w:rFonts w:ascii="Times New Roman" w:hAnsi="Times New Roman" w:cs="Times New Roman"/>
        </w:rPr>
        <w:t>bo</w:t>
      </w:r>
      <w:r w:rsidR="00413C4A" w:rsidRPr="0068442A">
        <w:rPr>
          <w:rStyle w:val="fontbold"/>
          <w:rFonts w:ascii="Times New Roman" w:hAnsi="Times New Roman" w:cs="Times New Roman"/>
        </w:rPr>
        <w:t xml:space="preserve">ys, </w:t>
      </w:r>
      <w:r w:rsidR="00437055" w:rsidRPr="0068442A">
        <w:rPr>
          <w:rStyle w:val="fontbold"/>
          <w:rFonts w:ascii="Times New Roman" w:hAnsi="Times New Roman" w:cs="Times New Roman"/>
        </w:rPr>
        <w:t>single-sex education equally deprive</w:t>
      </w:r>
      <w:r w:rsidR="000424A8" w:rsidRPr="0068442A">
        <w:rPr>
          <w:rStyle w:val="fontbold"/>
          <w:rFonts w:ascii="Times New Roman" w:hAnsi="Times New Roman" w:cs="Times New Roman"/>
        </w:rPr>
        <w:t>s</w:t>
      </w:r>
      <w:r w:rsidR="00437055" w:rsidRPr="0068442A">
        <w:rPr>
          <w:rStyle w:val="fontbold"/>
          <w:rFonts w:ascii="Times New Roman" w:hAnsi="Times New Roman" w:cs="Times New Roman"/>
        </w:rPr>
        <w:t xml:space="preserve"> boys</w:t>
      </w:r>
      <w:r w:rsidR="00413C4A" w:rsidRPr="0068442A">
        <w:rPr>
          <w:rStyle w:val="fontbold"/>
          <w:rFonts w:ascii="Times New Roman" w:hAnsi="Times New Roman" w:cs="Times New Roman"/>
        </w:rPr>
        <w:t xml:space="preserve"> of mixed</w:t>
      </w:r>
      <w:r w:rsidR="000424A8" w:rsidRPr="0068442A">
        <w:rPr>
          <w:rStyle w:val="fontbold"/>
          <w:rFonts w:ascii="Times New Roman" w:hAnsi="Times New Roman" w:cs="Times New Roman"/>
        </w:rPr>
        <w:t>-</w:t>
      </w:r>
      <w:r w:rsidR="00413C4A" w:rsidRPr="0068442A">
        <w:rPr>
          <w:rStyle w:val="fontbold"/>
          <w:rFonts w:ascii="Times New Roman" w:hAnsi="Times New Roman" w:cs="Times New Roman"/>
        </w:rPr>
        <w:t xml:space="preserve">gender relations and </w:t>
      </w:r>
      <w:r w:rsidR="006C0C04" w:rsidRPr="0068442A">
        <w:rPr>
          <w:rStyle w:val="fontbold"/>
          <w:rFonts w:ascii="Times New Roman" w:hAnsi="Times New Roman" w:cs="Times New Roman"/>
        </w:rPr>
        <w:t xml:space="preserve">the opportunity to mingle or communicate </w:t>
      </w:r>
      <w:r w:rsidR="00413C4A" w:rsidRPr="0068442A">
        <w:rPr>
          <w:rStyle w:val="fontbold"/>
          <w:rFonts w:ascii="Times New Roman" w:hAnsi="Times New Roman" w:cs="Times New Roman"/>
        </w:rPr>
        <w:t xml:space="preserve">with </w:t>
      </w:r>
      <w:r w:rsidR="000424A8" w:rsidRPr="0068442A">
        <w:rPr>
          <w:rStyle w:val="fontbold"/>
          <w:rFonts w:ascii="Times New Roman" w:hAnsi="Times New Roman" w:cs="Times New Roman"/>
        </w:rPr>
        <w:t xml:space="preserve">the </w:t>
      </w:r>
      <w:r w:rsidR="00413C4A" w:rsidRPr="0068442A">
        <w:rPr>
          <w:rStyle w:val="fontbold"/>
          <w:rFonts w:ascii="Times New Roman" w:hAnsi="Times New Roman" w:cs="Times New Roman"/>
        </w:rPr>
        <w:t>opposite-sex</w:t>
      </w:r>
      <w:r w:rsidR="0033593D" w:rsidRPr="0068442A">
        <w:rPr>
          <w:rStyle w:val="fontbold"/>
          <w:rFonts w:ascii="Times New Roman" w:hAnsi="Times New Roman" w:cs="Times New Roman"/>
        </w:rPr>
        <w:t xml:space="preserve"> and does not address the toxic masculinity embedded in pedagogy, curriculum, school structures and gender relations.</w:t>
      </w:r>
      <w:r w:rsidR="006C0C04" w:rsidRPr="0068442A">
        <w:rPr>
          <w:rStyle w:val="fontbold"/>
          <w:rFonts w:ascii="Times New Roman" w:hAnsi="Times New Roman" w:cs="Times New Roman"/>
        </w:rPr>
        <w:t xml:space="preserve"> Similarly, </w:t>
      </w:r>
      <w:r w:rsidR="00437055" w:rsidRPr="0068442A">
        <w:rPr>
          <w:rStyle w:val="fontbold"/>
          <w:rFonts w:ascii="Times New Roman" w:hAnsi="Times New Roman" w:cs="Times New Roman"/>
        </w:rPr>
        <w:t>initiatives that</w:t>
      </w:r>
      <w:r w:rsidR="00482C47" w:rsidRPr="0068442A">
        <w:rPr>
          <w:rStyle w:val="fontbold"/>
          <w:rFonts w:ascii="Times New Roman" w:hAnsi="Times New Roman" w:cs="Times New Roman"/>
        </w:rPr>
        <w:t xml:space="preserve"> </w:t>
      </w:r>
      <w:r w:rsidR="006C0C04" w:rsidRPr="0068442A">
        <w:rPr>
          <w:rStyle w:val="fontbold"/>
          <w:rFonts w:ascii="Times New Roman" w:hAnsi="Times New Roman" w:cs="Times New Roman"/>
        </w:rPr>
        <w:t xml:space="preserve">only </w:t>
      </w:r>
      <w:r w:rsidR="00482C47" w:rsidRPr="0068442A">
        <w:rPr>
          <w:rStyle w:val="fontbold"/>
          <w:rFonts w:ascii="Times New Roman" w:hAnsi="Times New Roman" w:cs="Times New Roman"/>
        </w:rPr>
        <w:t>focus on promoting</w:t>
      </w:r>
      <w:r w:rsidR="00437055" w:rsidRPr="0068442A">
        <w:rPr>
          <w:rStyle w:val="fontbold"/>
          <w:rFonts w:ascii="Times New Roman" w:hAnsi="Times New Roman" w:cs="Times New Roman"/>
        </w:rPr>
        <w:t xml:space="preserve"> girls’ education</w:t>
      </w:r>
      <w:r w:rsidR="00482C47" w:rsidRPr="0068442A">
        <w:rPr>
          <w:rStyle w:val="fontbold"/>
          <w:rFonts w:ascii="Times New Roman" w:hAnsi="Times New Roman" w:cs="Times New Roman"/>
        </w:rPr>
        <w:t xml:space="preserve"> and boosting </w:t>
      </w:r>
      <w:r w:rsidR="006C0C04" w:rsidRPr="0068442A">
        <w:rPr>
          <w:rStyle w:val="fontbold"/>
          <w:rFonts w:ascii="Times New Roman" w:hAnsi="Times New Roman" w:cs="Times New Roman"/>
        </w:rPr>
        <w:t xml:space="preserve">their </w:t>
      </w:r>
      <w:r w:rsidR="00482C47" w:rsidRPr="0068442A">
        <w:rPr>
          <w:rStyle w:val="fontbold"/>
          <w:rFonts w:ascii="Times New Roman" w:hAnsi="Times New Roman" w:cs="Times New Roman"/>
        </w:rPr>
        <w:t>numbers</w:t>
      </w:r>
      <w:r w:rsidR="00437055" w:rsidRPr="0068442A">
        <w:rPr>
          <w:rStyle w:val="fontbold"/>
          <w:rFonts w:ascii="Times New Roman" w:hAnsi="Times New Roman" w:cs="Times New Roman"/>
        </w:rPr>
        <w:t xml:space="preserve"> can </w:t>
      </w:r>
      <w:r w:rsidR="00F4338C" w:rsidRPr="0068442A">
        <w:rPr>
          <w:rStyle w:val="fontbold"/>
          <w:rFonts w:ascii="Times New Roman" w:hAnsi="Times New Roman" w:cs="Times New Roman"/>
        </w:rPr>
        <w:t xml:space="preserve">overlook </w:t>
      </w:r>
      <w:r w:rsidR="00437055" w:rsidRPr="0068442A">
        <w:rPr>
          <w:rStyle w:val="fontbold"/>
          <w:rFonts w:ascii="Times New Roman" w:hAnsi="Times New Roman" w:cs="Times New Roman"/>
        </w:rPr>
        <w:t>the boys who do</w:t>
      </w:r>
      <w:r w:rsidR="00482C47" w:rsidRPr="0068442A">
        <w:rPr>
          <w:rStyle w:val="fontbold"/>
          <w:rFonts w:ascii="Times New Roman" w:hAnsi="Times New Roman" w:cs="Times New Roman"/>
        </w:rPr>
        <w:t xml:space="preserve"> </w:t>
      </w:r>
      <w:r w:rsidR="00437055" w:rsidRPr="0068442A">
        <w:rPr>
          <w:rStyle w:val="fontbold"/>
          <w:rFonts w:ascii="Times New Roman" w:hAnsi="Times New Roman" w:cs="Times New Roman"/>
        </w:rPr>
        <w:t xml:space="preserve">not have </w:t>
      </w:r>
      <w:r w:rsidR="006875DD" w:rsidRPr="0068442A">
        <w:rPr>
          <w:rStyle w:val="fontbold"/>
          <w:rFonts w:ascii="Times New Roman" w:hAnsi="Times New Roman" w:cs="Times New Roman"/>
        </w:rPr>
        <w:t xml:space="preserve">the </w:t>
      </w:r>
      <w:r w:rsidR="00437055" w:rsidRPr="0068442A">
        <w:rPr>
          <w:rStyle w:val="fontbold"/>
          <w:rFonts w:ascii="Times New Roman" w:hAnsi="Times New Roman" w:cs="Times New Roman"/>
        </w:rPr>
        <w:t>necessary economic means to study, all of</w:t>
      </w:r>
      <w:r w:rsidR="00726769" w:rsidRPr="0068442A">
        <w:rPr>
          <w:rStyle w:val="fontbold"/>
          <w:rFonts w:ascii="Times New Roman" w:hAnsi="Times New Roman" w:cs="Times New Roman"/>
        </w:rPr>
        <w:t xml:space="preserve"> </w:t>
      </w:r>
      <w:r w:rsidR="00413C4A" w:rsidRPr="0068442A">
        <w:rPr>
          <w:rStyle w:val="fontbold"/>
          <w:rFonts w:ascii="Times New Roman" w:hAnsi="Times New Roman" w:cs="Times New Roman"/>
        </w:rPr>
        <w:t xml:space="preserve">which is significant for building </w:t>
      </w:r>
      <w:r w:rsidR="006875DD" w:rsidRPr="0068442A">
        <w:rPr>
          <w:rStyle w:val="fontbold"/>
          <w:rFonts w:ascii="Times New Roman" w:hAnsi="Times New Roman" w:cs="Times New Roman"/>
        </w:rPr>
        <w:t xml:space="preserve">a </w:t>
      </w:r>
      <w:r w:rsidR="00413C4A" w:rsidRPr="0068442A">
        <w:rPr>
          <w:rStyle w:val="fontbold"/>
          <w:rFonts w:ascii="Times New Roman" w:hAnsi="Times New Roman" w:cs="Times New Roman"/>
        </w:rPr>
        <w:t>gender-just society</w:t>
      </w:r>
      <w:r w:rsidR="00726769" w:rsidRPr="0068442A">
        <w:rPr>
          <w:rStyle w:val="fontbold"/>
          <w:rFonts w:ascii="Times New Roman" w:hAnsi="Times New Roman" w:cs="Times New Roman"/>
        </w:rPr>
        <w:t xml:space="preserve">. </w:t>
      </w:r>
      <w:r w:rsidR="0035522B">
        <w:rPr>
          <w:rStyle w:val="fontbold"/>
          <w:rFonts w:ascii="Times New Roman" w:hAnsi="Times New Roman" w:cs="Times New Roman"/>
        </w:rPr>
        <w:t>Therefore</w:t>
      </w:r>
      <w:r w:rsidR="009624CD" w:rsidRPr="0068442A">
        <w:rPr>
          <w:rStyle w:val="fontbold"/>
          <w:rFonts w:ascii="Times New Roman" w:hAnsi="Times New Roman" w:cs="Times New Roman"/>
        </w:rPr>
        <w:t>, it is time that we move</w:t>
      </w:r>
      <w:r w:rsidR="0035522B">
        <w:rPr>
          <w:rStyle w:val="fontbold"/>
          <w:rFonts w:ascii="Times New Roman" w:hAnsi="Times New Roman" w:cs="Times New Roman"/>
        </w:rPr>
        <w:t>d</w:t>
      </w:r>
      <w:r w:rsidR="009624CD" w:rsidRPr="0068442A">
        <w:rPr>
          <w:rStyle w:val="fontbold"/>
          <w:rFonts w:ascii="Times New Roman" w:hAnsi="Times New Roman" w:cs="Times New Roman"/>
        </w:rPr>
        <w:t xml:space="preserve"> towards a more inclusive understanding of gender that incorporates boys and engages them in gender equality initiatives. </w:t>
      </w:r>
    </w:p>
    <w:p w14:paraId="1897FEB1" w14:textId="6995705C" w:rsidR="00192C92" w:rsidRPr="0068442A" w:rsidRDefault="009D3392" w:rsidP="00BF1E10">
      <w:pPr>
        <w:spacing w:line="360" w:lineRule="auto"/>
        <w:jc w:val="both"/>
        <w:rPr>
          <w:rFonts w:ascii="Times New Roman" w:hAnsi="Times New Roman" w:cs="Times New Roman"/>
        </w:rPr>
      </w:pPr>
      <w:r w:rsidRPr="0068442A">
        <w:rPr>
          <w:rStyle w:val="fontbold"/>
          <w:rFonts w:ascii="Times New Roman" w:hAnsi="Times New Roman" w:cs="Times New Roman"/>
        </w:rPr>
        <w:t xml:space="preserve">We believe that the outcomes and impacts of the reform should be thoroughly analysed across the country to address </w:t>
      </w:r>
      <w:r w:rsidR="008D0449" w:rsidRPr="0068442A">
        <w:rPr>
          <w:rStyle w:val="fontbold"/>
          <w:rFonts w:ascii="Times New Roman" w:hAnsi="Times New Roman" w:cs="Times New Roman"/>
        </w:rPr>
        <w:t>its</w:t>
      </w:r>
      <w:r w:rsidRPr="0068442A">
        <w:rPr>
          <w:rStyle w:val="fontbold"/>
          <w:rFonts w:ascii="Times New Roman" w:hAnsi="Times New Roman" w:cs="Times New Roman"/>
        </w:rPr>
        <w:t xml:space="preserve"> lack of gender equality conceptualisations. It is hoped that the findings will inform the debates on gender equality within the reform</w:t>
      </w:r>
      <w:r w:rsidR="008D0449" w:rsidRPr="0068442A">
        <w:rPr>
          <w:rStyle w:val="fontbold"/>
          <w:rFonts w:ascii="Times New Roman" w:hAnsi="Times New Roman" w:cs="Times New Roman"/>
        </w:rPr>
        <w:t>,</w:t>
      </w:r>
      <w:r w:rsidRPr="0068442A">
        <w:rPr>
          <w:rStyle w:val="fontbold"/>
          <w:rFonts w:ascii="Times New Roman" w:hAnsi="Times New Roman" w:cs="Times New Roman"/>
        </w:rPr>
        <w:t xml:space="preserve"> as the</w:t>
      </w:r>
      <w:r w:rsidR="00F17D24" w:rsidRPr="0068442A">
        <w:rPr>
          <w:rStyle w:val="fontbold"/>
          <w:rFonts w:ascii="Times New Roman" w:hAnsi="Times New Roman" w:cs="Times New Roman"/>
        </w:rPr>
        <w:t>y</w:t>
      </w:r>
      <w:r w:rsidRPr="0068442A">
        <w:rPr>
          <w:rStyle w:val="fontbold"/>
          <w:rFonts w:ascii="Times New Roman" w:hAnsi="Times New Roman" w:cs="Times New Roman"/>
        </w:rPr>
        <w:t xml:space="preserve"> allow us to conclude that traditional gender roles and patriarchy are not being challenged </w:t>
      </w:r>
      <w:r w:rsidR="00AF54CE">
        <w:rPr>
          <w:rStyle w:val="fontbold"/>
          <w:rFonts w:ascii="Times New Roman" w:hAnsi="Times New Roman" w:cs="Times New Roman"/>
        </w:rPr>
        <w:t>in</w:t>
      </w:r>
      <w:r w:rsidR="00AF54CE" w:rsidRPr="0068442A">
        <w:rPr>
          <w:rStyle w:val="fontbold"/>
          <w:rFonts w:ascii="Times New Roman" w:hAnsi="Times New Roman" w:cs="Times New Roman"/>
        </w:rPr>
        <w:t xml:space="preserve"> </w:t>
      </w:r>
      <w:r w:rsidRPr="0068442A">
        <w:rPr>
          <w:rStyle w:val="fontbold"/>
          <w:rFonts w:ascii="Times New Roman" w:hAnsi="Times New Roman" w:cs="Times New Roman"/>
        </w:rPr>
        <w:t xml:space="preserve">schools; </w:t>
      </w:r>
      <w:r w:rsidR="00BB0268" w:rsidRPr="0068442A">
        <w:rPr>
          <w:rStyle w:val="fontbold"/>
          <w:rFonts w:ascii="Times New Roman" w:hAnsi="Times New Roman" w:cs="Times New Roman"/>
        </w:rPr>
        <w:t>on the contrary,</w:t>
      </w:r>
      <w:r w:rsidR="00EC5E7D" w:rsidRPr="0068442A">
        <w:rPr>
          <w:rStyle w:val="fontbold"/>
          <w:rFonts w:ascii="Times New Roman" w:hAnsi="Times New Roman" w:cs="Times New Roman"/>
        </w:rPr>
        <w:t xml:space="preserve"> </w:t>
      </w:r>
      <w:r w:rsidRPr="0068442A">
        <w:rPr>
          <w:rStyle w:val="fontbold"/>
          <w:rFonts w:ascii="Times New Roman" w:hAnsi="Times New Roman" w:cs="Times New Roman"/>
        </w:rPr>
        <w:t>the policies adopted with the aim of improving women’s educational and social lives</w:t>
      </w:r>
      <w:r w:rsidR="00BB0268" w:rsidRPr="0068442A">
        <w:rPr>
          <w:rStyle w:val="fontbold"/>
          <w:rFonts w:ascii="Times New Roman" w:hAnsi="Times New Roman" w:cs="Times New Roman"/>
        </w:rPr>
        <w:t xml:space="preserve"> seems to have</w:t>
      </w:r>
      <w:r w:rsidR="00EC5E7D" w:rsidRPr="0068442A">
        <w:rPr>
          <w:rStyle w:val="fontbold"/>
          <w:rFonts w:ascii="Times New Roman" w:hAnsi="Times New Roman" w:cs="Times New Roman"/>
        </w:rPr>
        <w:t xml:space="preserve"> </w:t>
      </w:r>
      <w:r w:rsidR="008D0449" w:rsidRPr="0068442A">
        <w:rPr>
          <w:rStyle w:val="fontbold"/>
          <w:rFonts w:ascii="Times New Roman" w:hAnsi="Times New Roman" w:cs="Times New Roman"/>
        </w:rPr>
        <w:t xml:space="preserve">widened </w:t>
      </w:r>
      <w:r w:rsidRPr="0068442A">
        <w:rPr>
          <w:rStyle w:val="fontbold"/>
          <w:rFonts w:ascii="Times New Roman" w:hAnsi="Times New Roman" w:cs="Times New Roman"/>
        </w:rPr>
        <w:t>the separation between male</w:t>
      </w:r>
      <w:r w:rsidR="008D0449" w:rsidRPr="0068442A">
        <w:rPr>
          <w:rStyle w:val="fontbold"/>
          <w:rFonts w:ascii="Times New Roman" w:hAnsi="Times New Roman" w:cs="Times New Roman"/>
        </w:rPr>
        <w:t>s</w:t>
      </w:r>
      <w:r w:rsidRPr="0068442A">
        <w:rPr>
          <w:rStyle w:val="fontbold"/>
          <w:rFonts w:ascii="Times New Roman" w:hAnsi="Times New Roman" w:cs="Times New Roman"/>
        </w:rPr>
        <w:t xml:space="preserve"> and female</w:t>
      </w:r>
      <w:r w:rsidR="008D0449" w:rsidRPr="0068442A">
        <w:rPr>
          <w:rStyle w:val="fontbold"/>
          <w:rFonts w:ascii="Times New Roman" w:hAnsi="Times New Roman" w:cs="Times New Roman"/>
        </w:rPr>
        <w:t>s</w:t>
      </w:r>
      <w:r w:rsidRPr="0068442A">
        <w:rPr>
          <w:rStyle w:val="fontbold"/>
          <w:rFonts w:ascii="Times New Roman" w:hAnsi="Times New Roman" w:cs="Times New Roman"/>
        </w:rPr>
        <w:t>. Even though the government prioriti</w:t>
      </w:r>
      <w:r w:rsidR="0050617E" w:rsidRPr="0068442A">
        <w:rPr>
          <w:rStyle w:val="fontbold"/>
          <w:rFonts w:ascii="Times New Roman" w:hAnsi="Times New Roman" w:cs="Times New Roman"/>
        </w:rPr>
        <w:t>s</w:t>
      </w:r>
      <w:r w:rsidR="008D0449" w:rsidRPr="0068442A">
        <w:rPr>
          <w:rStyle w:val="fontbold"/>
          <w:rFonts w:ascii="Times New Roman" w:hAnsi="Times New Roman" w:cs="Times New Roman"/>
        </w:rPr>
        <w:t>es</w:t>
      </w:r>
      <w:r w:rsidRPr="0068442A">
        <w:rPr>
          <w:rStyle w:val="fontbold"/>
          <w:rFonts w:ascii="Times New Roman" w:hAnsi="Times New Roman" w:cs="Times New Roman"/>
        </w:rPr>
        <w:t xml:space="preserve"> girls’ education</w:t>
      </w:r>
      <w:r w:rsidR="00BB0268" w:rsidRPr="0068442A">
        <w:rPr>
          <w:rStyle w:val="fontbold"/>
          <w:rFonts w:ascii="Times New Roman" w:hAnsi="Times New Roman" w:cs="Times New Roman"/>
        </w:rPr>
        <w:t xml:space="preserve"> and equality agenda</w:t>
      </w:r>
      <w:r w:rsidRPr="0068442A">
        <w:rPr>
          <w:rStyle w:val="fontbold"/>
          <w:rFonts w:ascii="Times New Roman" w:hAnsi="Times New Roman" w:cs="Times New Roman"/>
        </w:rPr>
        <w:t>, there are obstacles to overcome</w:t>
      </w:r>
      <w:r w:rsidR="00F17D24" w:rsidRPr="0068442A">
        <w:rPr>
          <w:rStyle w:val="fontbold"/>
          <w:rFonts w:ascii="Times New Roman" w:hAnsi="Times New Roman" w:cs="Times New Roman"/>
        </w:rPr>
        <w:t>,</w:t>
      </w:r>
      <w:r w:rsidRPr="0068442A">
        <w:rPr>
          <w:rStyle w:val="fontbold"/>
          <w:rFonts w:ascii="Times New Roman" w:hAnsi="Times New Roman" w:cs="Times New Roman"/>
        </w:rPr>
        <w:t xml:space="preserve"> such as tackling the cultural norms surrounding girls, </w:t>
      </w:r>
      <w:r w:rsidR="009624CD" w:rsidRPr="0068442A">
        <w:rPr>
          <w:rStyle w:val="fontbold"/>
          <w:rFonts w:ascii="Times New Roman" w:hAnsi="Times New Roman" w:cs="Times New Roman"/>
        </w:rPr>
        <w:t xml:space="preserve">introducing a </w:t>
      </w:r>
      <w:r w:rsidR="009624CD" w:rsidRPr="0068442A">
        <w:rPr>
          <w:rStyle w:val="fontbold"/>
          <w:rFonts w:ascii="Times New Roman" w:hAnsi="Times New Roman" w:cs="Times New Roman"/>
        </w:rPr>
        <w:lastRenderedPageBreak/>
        <w:t xml:space="preserve">comprehensive </w:t>
      </w:r>
      <w:r w:rsidRPr="0068442A">
        <w:rPr>
          <w:rStyle w:val="fontbold"/>
          <w:rFonts w:ascii="Times New Roman" w:hAnsi="Times New Roman" w:cs="Times New Roman"/>
        </w:rPr>
        <w:t>understanding of what gender equality is, and applying th</w:t>
      </w:r>
      <w:r w:rsidR="000E6F5B" w:rsidRPr="0068442A">
        <w:rPr>
          <w:rStyle w:val="fontbold"/>
          <w:rFonts w:ascii="Times New Roman" w:hAnsi="Times New Roman" w:cs="Times New Roman"/>
        </w:rPr>
        <w:t>is</w:t>
      </w:r>
      <w:r w:rsidRPr="0068442A">
        <w:rPr>
          <w:rStyle w:val="fontbold"/>
          <w:rFonts w:ascii="Times New Roman" w:hAnsi="Times New Roman" w:cs="Times New Roman"/>
        </w:rPr>
        <w:t xml:space="preserve"> in schools. More importantly, there is a need </w:t>
      </w:r>
      <w:r w:rsidR="00F17D24" w:rsidRPr="0068442A">
        <w:rPr>
          <w:rStyle w:val="fontbold"/>
          <w:rFonts w:ascii="Times New Roman" w:hAnsi="Times New Roman" w:cs="Times New Roman"/>
        </w:rPr>
        <w:t xml:space="preserve">to </w:t>
      </w:r>
      <w:r w:rsidRPr="0068442A">
        <w:rPr>
          <w:rStyle w:val="fontbold"/>
          <w:rFonts w:ascii="Times New Roman" w:hAnsi="Times New Roman" w:cs="Times New Roman"/>
        </w:rPr>
        <w:t>adopt a bottom-up approach</w:t>
      </w:r>
      <w:r w:rsidR="00697612" w:rsidRPr="0068442A">
        <w:rPr>
          <w:rStyle w:val="fontbold"/>
          <w:rFonts w:ascii="Times New Roman" w:hAnsi="Times New Roman" w:cs="Times New Roman"/>
        </w:rPr>
        <w:t xml:space="preserve">; </w:t>
      </w:r>
      <w:r w:rsidR="00F17D24" w:rsidRPr="0068442A">
        <w:rPr>
          <w:rStyle w:val="fontbold"/>
          <w:rFonts w:ascii="Times New Roman" w:hAnsi="Times New Roman" w:cs="Times New Roman"/>
        </w:rPr>
        <w:t xml:space="preserve">the </w:t>
      </w:r>
      <w:r w:rsidRPr="0068442A">
        <w:rPr>
          <w:rStyle w:val="fontbold"/>
          <w:rFonts w:ascii="Times New Roman" w:hAnsi="Times New Roman" w:cs="Times New Roman"/>
        </w:rPr>
        <w:t xml:space="preserve">inclusion of teacher trade unions and journalists in policy-making is important but insufficient in </w:t>
      </w:r>
      <w:r w:rsidR="00C76F7C" w:rsidRPr="0068442A">
        <w:rPr>
          <w:rStyle w:val="fontbold"/>
          <w:rFonts w:ascii="Times New Roman" w:hAnsi="Times New Roman" w:cs="Times New Roman"/>
        </w:rPr>
        <w:t xml:space="preserve">matters such </w:t>
      </w:r>
      <w:r w:rsidR="00F17D24" w:rsidRPr="0068442A">
        <w:rPr>
          <w:rStyle w:val="fontbold"/>
          <w:rFonts w:ascii="Times New Roman" w:hAnsi="Times New Roman" w:cs="Times New Roman"/>
        </w:rPr>
        <w:t xml:space="preserve">as </w:t>
      </w:r>
      <w:r w:rsidR="00B74211" w:rsidRPr="0068442A">
        <w:rPr>
          <w:rStyle w:val="fontbold"/>
          <w:rFonts w:ascii="Times New Roman" w:hAnsi="Times New Roman" w:cs="Times New Roman"/>
        </w:rPr>
        <w:t>gender inequality</w:t>
      </w:r>
      <w:r w:rsidR="00AF54CE">
        <w:rPr>
          <w:rStyle w:val="fontbold"/>
          <w:rFonts w:ascii="Times New Roman" w:hAnsi="Times New Roman" w:cs="Times New Roman"/>
        </w:rPr>
        <w:t>;</w:t>
      </w:r>
      <w:r w:rsidR="00AF54CE" w:rsidRPr="0068442A">
        <w:rPr>
          <w:rStyle w:val="fontbold"/>
          <w:rFonts w:ascii="Times New Roman" w:hAnsi="Times New Roman" w:cs="Times New Roman"/>
        </w:rPr>
        <w:t xml:space="preserve"> </w:t>
      </w:r>
      <w:r w:rsidR="00B74211" w:rsidRPr="0068442A">
        <w:rPr>
          <w:rStyle w:val="fontbold"/>
          <w:rFonts w:ascii="Times New Roman" w:hAnsi="Times New Roman" w:cs="Times New Roman"/>
        </w:rPr>
        <w:t>instead</w:t>
      </w:r>
      <w:r w:rsidR="00AF54CE">
        <w:rPr>
          <w:rStyle w:val="fontbold"/>
          <w:rFonts w:ascii="Times New Roman" w:hAnsi="Times New Roman" w:cs="Times New Roman"/>
        </w:rPr>
        <w:t>,</w:t>
      </w:r>
      <w:r w:rsidR="00C76F7C" w:rsidRPr="0068442A">
        <w:rPr>
          <w:rStyle w:val="fontbold"/>
          <w:rFonts w:ascii="Times New Roman" w:hAnsi="Times New Roman" w:cs="Times New Roman"/>
        </w:rPr>
        <w:t xml:space="preserve"> girls</w:t>
      </w:r>
      <w:r w:rsidR="009624CD" w:rsidRPr="0068442A">
        <w:rPr>
          <w:rStyle w:val="fontbold"/>
          <w:rFonts w:ascii="Times New Roman" w:hAnsi="Times New Roman" w:cs="Times New Roman"/>
        </w:rPr>
        <w:t>, boys</w:t>
      </w:r>
      <w:r w:rsidR="00C76F7C" w:rsidRPr="0068442A">
        <w:rPr>
          <w:rStyle w:val="fontbold"/>
          <w:rFonts w:ascii="Times New Roman" w:hAnsi="Times New Roman" w:cs="Times New Roman"/>
        </w:rPr>
        <w:t xml:space="preserve">, communities, and practitioners in the field should be the first </w:t>
      </w:r>
      <w:r w:rsidR="00662CDE" w:rsidRPr="0068442A">
        <w:rPr>
          <w:rStyle w:val="fontbold"/>
          <w:rFonts w:ascii="Times New Roman" w:hAnsi="Times New Roman" w:cs="Times New Roman"/>
        </w:rPr>
        <w:t>to inform</w:t>
      </w:r>
      <w:r w:rsidR="00C76F7C" w:rsidRPr="0068442A">
        <w:rPr>
          <w:rStyle w:val="fontbold"/>
          <w:rFonts w:ascii="Times New Roman" w:hAnsi="Times New Roman" w:cs="Times New Roman"/>
        </w:rPr>
        <w:t xml:space="preserve"> such policies.</w:t>
      </w:r>
    </w:p>
    <w:p w14:paraId="4AA45640" w14:textId="4704320A" w:rsidR="00A237F1" w:rsidRDefault="00A237F1" w:rsidP="00501F33">
      <w:pPr>
        <w:spacing w:line="360" w:lineRule="auto"/>
        <w:jc w:val="both"/>
        <w:rPr>
          <w:rFonts w:ascii="Times New Roman" w:hAnsi="Times New Roman" w:cs="Times New Roman"/>
          <w:b/>
        </w:rPr>
      </w:pPr>
    </w:p>
    <w:p w14:paraId="65A5457E" w14:textId="1D85D879" w:rsidR="00570A8E" w:rsidRPr="00257EA7" w:rsidRDefault="007529C5" w:rsidP="00501F33">
      <w:pPr>
        <w:spacing w:line="360" w:lineRule="auto"/>
        <w:jc w:val="both"/>
        <w:rPr>
          <w:rFonts w:ascii="Times New Roman" w:hAnsi="Times New Roman" w:cs="Times New Roman"/>
          <w:b/>
        </w:rPr>
      </w:pPr>
      <w:r w:rsidRPr="00257EA7">
        <w:rPr>
          <w:rFonts w:ascii="Times New Roman" w:hAnsi="Times New Roman" w:cs="Times New Roman"/>
          <w:b/>
        </w:rPr>
        <w:t>References</w:t>
      </w:r>
    </w:p>
    <w:p w14:paraId="3BB7A6C0" w14:textId="673130AE" w:rsidR="003A15F3" w:rsidRPr="00257EA7" w:rsidRDefault="003A15F3" w:rsidP="00501F33">
      <w:pPr>
        <w:spacing w:line="360" w:lineRule="auto"/>
        <w:jc w:val="both"/>
        <w:rPr>
          <w:rFonts w:ascii="Times New Roman" w:hAnsi="Times New Roman" w:cs="Times New Roman"/>
          <w:b/>
        </w:rPr>
      </w:pPr>
      <w:r w:rsidRPr="00257EA7">
        <w:rPr>
          <w:rFonts w:ascii="Times New Roman" w:hAnsi="Times New Roman" w:cs="Times New Roman"/>
        </w:rPr>
        <w:t>Aikman, S., Halai, A., Rubagiza, T., 2011. Conceptualising gender equality in research on education quality. Comp. Educ. 47 (1), 45–60.</w:t>
      </w:r>
    </w:p>
    <w:p w14:paraId="25021C2A" w14:textId="467D326A" w:rsidR="00B53952" w:rsidRPr="00257EA7" w:rsidRDefault="00BE6D71" w:rsidP="00501F33">
      <w:pPr>
        <w:spacing w:line="360" w:lineRule="auto"/>
        <w:ind w:left="567" w:hanging="567"/>
        <w:jc w:val="both"/>
        <w:rPr>
          <w:rFonts w:ascii="Times New Roman" w:hAnsi="Times New Roman" w:cs="Times New Roman"/>
        </w:rPr>
      </w:pPr>
      <w:r w:rsidRPr="00257EA7">
        <w:rPr>
          <w:rFonts w:ascii="Times New Roman" w:hAnsi="Times New Roman" w:cs="Times New Roman"/>
        </w:rPr>
        <w:t>Alkire, S. 2002</w:t>
      </w:r>
      <w:r w:rsidR="00B53952" w:rsidRPr="00257EA7">
        <w:rPr>
          <w:rFonts w:ascii="Times New Roman" w:hAnsi="Times New Roman" w:cs="Times New Roman"/>
        </w:rPr>
        <w:t xml:space="preserve">. </w:t>
      </w:r>
      <w:r w:rsidR="00B53952" w:rsidRPr="00257EA7">
        <w:rPr>
          <w:rFonts w:ascii="Times New Roman" w:hAnsi="Times New Roman" w:cs="Times New Roman"/>
          <w:i/>
          <w:iCs/>
        </w:rPr>
        <w:t xml:space="preserve">Valuing freedom’s: Sen’s </w:t>
      </w:r>
      <w:r w:rsidRPr="00257EA7">
        <w:rPr>
          <w:rFonts w:ascii="Times New Roman" w:hAnsi="Times New Roman" w:cs="Times New Roman"/>
          <w:i/>
          <w:iCs/>
        </w:rPr>
        <w:t>Capability Approach and Poverty R</w:t>
      </w:r>
      <w:r w:rsidR="00B53952" w:rsidRPr="00257EA7">
        <w:rPr>
          <w:rFonts w:ascii="Times New Roman" w:hAnsi="Times New Roman" w:cs="Times New Roman"/>
          <w:i/>
          <w:iCs/>
        </w:rPr>
        <w:t>eduction</w:t>
      </w:r>
      <w:r w:rsidR="00B53952" w:rsidRPr="00257EA7">
        <w:rPr>
          <w:rFonts w:ascii="Times New Roman" w:hAnsi="Times New Roman" w:cs="Times New Roman"/>
        </w:rPr>
        <w:t>.</w:t>
      </w:r>
      <w:r w:rsidR="00E7356D" w:rsidRPr="00257EA7">
        <w:rPr>
          <w:rFonts w:ascii="Times New Roman" w:hAnsi="Times New Roman" w:cs="Times New Roman"/>
        </w:rPr>
        <w:t xml:space="preserve"> New York: Oxford University Press.</w:t>
      </w:r>
    </w:p>
    <w:p w14:paraId="530CFAA6" w14:textId="77777777" w:rsidR="00FD5197" w:rsidRPr="00257EA7" w:rsidRDefault="00B53952"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Alkire, S. 2008. “Using the Capability Approach: Prospective and </w:t>
      </w:r>
      <w:r w:rsidR="00F13A21" w:rsidRPr="00257EA7">
        <w:rPr>
          <w:rFonts w:ascii="Times New Roman" w:hAnsi="Times New Roman" w:cs="Times New Roman"/>
        </w:rPr>
        <w:t>Evaluative Analyses.” Chap. 1</w:t>
      </w:r>
      <w:r w:rsidR="00F13A21" w:rsidRPr="00257EA7">
        <w:rPr>
          <w:rFonts w:ascii="Times New Roman" w:hAnsi="Times New Roman" w:cs="Times New Roman"/>
          <w:i/>
        </w:rPr>
        <w:t>. I</w:t>
      </w:r>
      <w:r w:rsidRPr="00257EA7">
        <w:rPr>
          <w:rFonts w:ascii="Times New Roman" w:hAnsi="Times New Roman" w:cs="Times New Roman"/>
          <w:i/>
        </w:rPr>
        <w:t>n The Capability Approach: Concepts, Measures and Applications</w:t>
      </w:r>
      <w:r w:rsidRPr="00257EA7">
        <w:rPr>
          <w:rFonts w:ascii="Times New Roman" w:hAnsi="Times New Roman" w:cs="Times New Roman"/>
        </w:rPr>
        <w:t>, edited by F. Comim, M. Qizilbash, and S. Alkire, 26–49. Cambri</w:t>
      </w:r>
      <w:r w:rsidR="00FD5197" w:rsidRPr="00257EA7">
        <w:rPr>
          <w:rFonts w:ascii="Times New Roman" w:hAnsi="Times New Roman" w:cs="Times New Roman"/>
        </w:rPr>
        <w:t>dge: Cambridge University Press.</w:t>
      </w:r>
    </w:p>
    <w:p w14:paraId="320AE655" w14:textId="25047A13" w:rsidR="001749A3" w:rsidRPr="00257EA7" w:rsidRDefault="00501F33" w:rsidP="00501F33">
      <w:pPr>
        <w:autoSpaceDE w:val="0"/>
        <w:autoSpaceDN w:val="0"/>
        <w:adjustRightInd w:val="0"/>
        <w:spacing w:after="0" w:line="360" w:lineRule="auto"/>
        <w:ind w:left="567" w:hanging="567"/>
        <w:jc w:val="both"/>
        <w:rPr>
          <w:rFonts w:ascii="Times New Roman" w:hAnsi="Times New Roman" w:cs="Times New Roman"/>
        </w:rPr>
      </w:pPr>
      <w:r w:rsidRPr="00EC7182">
        <w:rPr>
          <w:rFonts w:ascii="Times New Roman" w:eastAsia="Times New Roman" w:hAnsi="Times New Roman" w:cs="Times New Roman"/>
          <w:lang w:eastAsia="en-GB"/>
        </w:rPr>
        <w:t>Aydemir, E. 2011</w:t>
      </w:r>
      <w:r w:rsidR="001749A3" w:rsidRPr="00EC7182">
        <w:rPr>
          <w:rFonts w:ascii="Times New Roman" w:eastAsia="Times New Roman" w:hAnsi="Times New Roman" w:cs="Times New Roman"/>
          <w:lang w:eastAsia="en-GB"/>
        </w:rPr>
        <w:t xml:space="preserve">. </w:t>
      </w:r>
      <w:r w:rsidR="001749A3" w:rsidRPr="00EC7182">
        <w:rPr>
          <w:rFonts w:ascii="Times New Roman" w:eastAsia="Times New Roman" w:hAnsi="Times New Roman" w:cs="Times New Roman"/>
          <w:i/>
          <w:iCs/>
          <w:lang w:eastAsia="en-GB"/>
        </w:rPr>
        <w:t>Evlilik mi evcilik mi? Erken ve zorla evlilikler: Çocuk gelinler</w:t>
      </w:r>
      <w:r w:rsidRPr="00EC718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International </w:t>
      </w:r>
      <w:r w:rsidR="001749A3" w:rsidRPr="00257EA7">
        <w:rPr>
          <w:rFonts w:ascii="Times New Roman" w:eastAsia="Times New Roman" w:hAnsi="Times New Roman" w:cs="Times New Roman"/>
          <w:lang w:eastAsia="en-GB"/>
        </w:rPr>
        <w:t>Strategic Research Organization (USAK).</w:t>
      </w:r>
    </w:p>
    <w:p w14:paraId="4C305367" w14:textId="0DFBC0F0" w:rsidR="00155852" w:rsidRPr="00257EA7" w:rsidRDefault="00155852" w:rsidP="00501F33">
      <w:pPr>
        <w:spacing w:line="360" w:lineRule="auto"/>
        <w:jc w:val="both"/>
        <w:rPr>
          <w:rFonts w:ascii="Times New Roman" w:eastAsia="Times New Roman" w:hAnsi="Times New Roman" w:cs="Times New Roman"/>
          <w:lang w:eastAsia="en-GB"/>
        </w:rPr>
      </w:pPr>
      <w:r w:rsidRPr="00257EA7">
        <w:rPr>
          <w:rFonts w:ascii="Times New Roman" w:hAnsi="Times New Roman" w:cs="Times New Roman"/>
        </w:rPr>
        <w:t xml:space="preserve">Cin, F. M. 2017. </w:t>
      </w:r>
      <w:r w:rsidRPr="00257EA7">
        <w:rPr>
          <w:rFonts w:ascii="Times New Roman" w:eastAsia="Times New Roman" w:hAnsi="Times New Roman" w:cs="Times New Roman"/>
          <w:i/>
          <w:iCs/>
          <w:lang w:eastAsia="en-GB"/>
        </w:rPr>
        <w:t xml:space="preserve">Gender Justice, Education and Equality: Creating Capabilities for Girls' and </w:t>
      </w:r>
      <w:r w:rsidR="00501F33">
        <w:rPr>
          <w:rFonts w:ascii="Times New Roman" w:eastAsia="Times New Roman" w:hAnsi="Times New Roman" w:cs="Times New Roman"/>
          <w:i/>
          <w:iCs/>
          <w:lang w:eastAsia="en-GB"/>
        </w:rPr>
        <w:t xml:space="preserve">  </w:t>
      </w:r>
      <w:r w:rsidRPr="00257EA7">
        <w:rPr>
          <w:rFonts w:ascii="Times New Roman" w:eastAsia="Times New Roman" w:hAnsi="Times New Roman" w:cs="Times New Roman"/>
          <w:i/>
          <w:iCs/>
          <w:lang w:eastAsia="en-GB"/>
        </w:rPr>
        <w:t>Women's Development</w:t>
      </w:r>
      <w:r w:rsidRPr="00257EA7">
        <w:rPr>
          <w:rFonts w:ascii="Times New Roman" w:eastAsia="Times New Roman" w:hAnsi="Times New Roman" w:cs="Times New Roman"/>
          <w:lang w:eastAsia="en-GB"/>
        </w:rPr>
        <w:t>. Springer.</w:t>
      </w:r>
    </w:p>
    <w:p w14:paraId="75F9FD06" w14:textId="52A332D5" w:rsidR="00501F33" w:rsidRDefault="00D12F2F" w:rsidP="00501F33">
      <w:pPr>
        <w:spacing w:after="0"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Cin, F. M., &amp; Walker, M. 2013</w:t>
      </w:r>
      <w:r w:rsidR="006A3D77" w:rsidRPr="00257EA7">
        <w:rPr>
          <w:rFonts w:ascii="Times New Roman" w:eastAsia="Times New Roman" w:hAnsi="Times New Roman" w:cs="Times New Roman"/>
          <w:lang w:eastAsia="en-GB"/>
        </w:rPr>
        <w:t xml:space="preserve">. Context and history: Using a capabilities-based social justice perspective to explore three generations of western Turkish female teachers’ lives. </w:t>
      </w:r>
      <w:r w:rsidR="006A3D77" w:rsidRPr="00257EA7">
        <w:rPr>
          <w:rFonts w:ascii="Times New Roman" w:eastAsia="Times New Roman" w:hAnsi="Times New Roman" w:cs="Times New Roman"/>
          <w:i/>
          <w:iCs/>
          <w:lang w:eastAsia="en-GB"/>
        </w:rPr>
        <w:t>International Journal of Educational Development</w:t>
      </w:r>
      <w:r w:rsidR="006A3D77" w:rsidRPr="00257EA7">
        <w:rPr>
          <w:rFonts w:ascii="Times New Roman" w:eastAsia="Times New Roman" w:hAnsi="Times New Roman" w:cs="Times New Roman"/>
          <w:lang w:eastAsia="en-GB"/>
        </w:rPr>
        <w:t xml:space="preserve">, </w:t>
      </w:r>
      <w:r w:rsidR="006A3D77" w:rsidRPr="00257EA7">
        <w:rPr>
          <w:rFonts w:ascii="Times New Roman" w:eastAsia="Times New Roman" w:hAnsi="Times New Roman" w:cs="Times New Roman"/>
          <w:i/>
          <w:iCs/>
          <w:lang w:eastAsia="en-GB"/>
        </w:rPr>
        <w:t>33</w:t>
      </w:r>
      <w:r w:rsidR="006A3D77" w:rsidRPr="00257EA7">
        <w:rPr>
          <w:rFonts w:ascii="Times New Roman" w:eastAsia="Times New Roman" w:hAnsi="Times New Roman" w:cs="Times New Roman"/>
          <w:lang w:eastAsia="en-GB"/>
        </w:rPr>
        <w:t>(4), 394-404.</w:t>
      </w:r>
    </w:p>
    <w:p w14:paraId="59E1EC4B" w14:textId="77777777" w:rsidR="00501F33" w:rsidRDefault="00501F33" w:rsidP="00501F33">
      <w:pPr>
        <w:autoSpaceDE w:val="0"/>
        <w:autoSpaceDN w:val="0"/>
        <w:adjustRightInd w:val="0"/>
        <w:spacing w:after="0" w:line="360" w:lineRule="auto"/>
        <w:jc w:val="both"/>
        <w:rPr>
          <w:rFonts w:ascii="Times New Roman" w:hAnsi="Times New Roman" w:cs="Times New Roman"/>
        </w:rPr>
      </w:pPr>
    </w:p>
    <w:p w14:paraId="2911A9E0" w14:textId="546BF204" w:rsidR="00155852" w:rsidRPr="00257EA7" w:rsidRDefault="00155852" w:rsidP="00501F33">
      <w:pPr>
        <w:autoSpaceDE w:val="0"/>
        <w:autoSpaceDN w:val="0"/>
        <w:adjustRightInd w:val="0"/>
        <w:spacing w:after="0" w:line="360" w:lineRule="auto"/>
        <w:jc w:val="both"/>
        <w:rPr>
          <w:rFonts w:ascii="Times New Roman" w:hAnsi="Times New Roman" w:cs="Times New Roman"/>
        </w:rPr>
      </w:pPr>
      <w:r w:rsidRPr="00257EA7">
        <w:rPr>
          <w:rFonts w:ascii="Times New Roman" w:hAnsi="Times New Roman" w:cs="Times New Roman"/>
        </w:rPr>
        <w:t xml:space="preserve">Cin, F. M. and M. Walker. 2016. Reconsidering girls’ education in Turkey from a capabilities and feminist perspective. </w:t>
      </w:r>
      <w:r w:rsidRPr="00257EA7">
        <w:rPr>
          <w:rFonts w:ascii="Times New Roman" w:hAnsi="Times New Roman" w:cs="Times New Roman"/>
          <w:i/>
          <w:iCs/>
        </w:rPr>
        <w:t>International Journal of Educational</w:t>
      </w:r>
      <w:r w:rsidRPr="00257EA7">
        <w:rPr>
          <w:rFonts w:ascii="Times New Roman" w:hAnsi="Times New Roman" w:cs="Times New Roman"/>
        </w:rPr>
        <w:t xml:space="preserve"> </w:t>
      </w:r>
      <w:r w:rsidRPr="00257EA7">
        <w:rPr>
          <w:rFonts w:ascii="Times New Roman" w:hAnsi="Times New Roman" w:cs="Times New Roman"/>
          <w:i/>
          <w:iCs/>
        </w:rPr>
        <w:t>Development, 49</w:t>
      </w:r>
      <w:r w:rsidRPr="00257EA7">
        <w:rPr>
          <w:rFonts w:ascii="Times New Roman" w:hAnsi="Times New Roman" w:cs="Times New Roman"/>
        </w:rPr>
        <w:t>, 134–143.</w:t>
      </w:r>
    </w:p>
    <w:p w14:paraId="5002F558" w14:textId="6AADC390" w:rsidR="00B53952" w:rsidRPr="00257EA7" w:rsidRDefault="009E25B0"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DeJaeghere, J. 2012</w:t>
      </w:r>
      <w:r w:rsidR="00B53952" w:rsidRPr="00257EA7">
        <w:rPr>
          <w:rFonts w:ascii="Times New Roman" w:hAnsi="Times New Roman" w:cs="Times New Roman"/>
        </w:rPr>
        <w:t xml:space="preserve">. </w:t>
      </w:r>
      <w:r w:rsidRPr="00257EA7">
        <w:rPr>
          <w:rFonts w:ascii="Times New Roman" w:hAnsi="Times New Roman" w:cs="Times New Roman"/>
        </w:rPr>
        <w:t>“Public Debate and Dialogue from a Capabilities Approach: Can It Foster Gender Justice in E</w:t>
      </w:r>
      <w:r w:rsidR="00B53952" w:rsidRPr="00257EA7">
        <w:rPr>
          <w:rFonts w:ascii="Times New Roman" w:hAnsi="Times New Roman" w:cs="Times New Roman"/>
        </w:rPr>
        <w:t>ducation?</w:t>
      </w:r>
      <w:r w:rsidRPr="00257EA7">
        <w:rPr>
          <w:rFonts w:ascii="Times New Roman" w:hAnsi="Times New Roman" w:cs="Times New Roman"/>
        </w:rPr>
        <w:t>”</w:t>
      </w:r>
      <w:r w:rsidR="00B53952" w:rsidRPr="00257EA7">
        <w:rPr>
          <w:rFonts w:ascii="Times New Roman" w:hAnsi="Times New Roman" w:cs="Times New Roman"/>
        </w:rPr>
        <w:t xml:space="preserve"> </w:t>
      </w:r>
      <w:r w:rsidR="00B53952" w:rsidRPr="00257EA7">
        <w:rPr>
          <w:rFonts w:ascii="Times New Roman" w:hAnsi="Times New Roman" w:cs="Times New Roman"/>
          <w:i/>
          <w:iCs/>
        </w:rPr>
        <w:t>Journal of Human Development and</w:t>
      </w:r>
      <w:r w:rsidR="00B53952" w:rsidRPr="00257EA7">
        <w:rPr>
          <w:rFonts w:ascii="Times New Roman" w:hAnsi="Times New Roman" w:cs="Times New Roman"/>
        </w:rPr>
        <w:t xml:space="preserve"> </w:t>
      </w:r>
      <w:r w:rsidR="00B53952" w:rsidRPr="00257EA7">
        <w:rPr>
          <w:rFonts w:ascii="Times New Roman" w:hAnsi="Times New Roman" w:cs="Times New Roman"/>
          <w:i/>
          <w:iCs/>
        </w:rPr>
        <w:t>Capabilities, 13</w:t>
      </w:r>
      <w:r w:rsidR="00B53952" w:rsidRPr="00257EA7">
        <w:rPr>
          <w:rFonts w:ascii="Times New Roman" w:hAnsi="Times New Roman" w:cs="Times New Roman"/>
        </w:rPr>
        <w:t>, 353–371.</w:t>
      </w:r>
    </w:p>
    <w:p w14:paraId="4B32EE0F"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1C8B1FCA" w14:textId="5F0D80F3" w:rsidR="00B53952" w:rsidRPr="00257EA7" w:rsidRDefault="009E25B0"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De</w:t>
      </w:r>
      <w:r w:rsidR="00BD4E42" w:rsidRPr="00257EA7">
        <w:rPr>
          <w:rFonts w:ascii="Times New Roman" w:hAnsi="Times New Roman" w:cs="Times New Roman"/>
        </w:rPr>
        <w:t>J</w:t>
      </w:r>
      <w:r w:rsidRPr="00257EA7">
        <w:rPr>
          <w:rFonts w:ascii="Times New Roman" w:hAnsi="Times New Roman" w:cs="Times New Roman"/>
        </w:rPr>
        <w:t>aeghere, J., and</w:t>
      </w:r>
      <w:r w:rsidR="00B53952" w:rsidRPr="00257EA7">
        <w:rPr>
          <w:rFonts w:ascii="Times New Roman" w:hAnsi="Times New Roman" w:cs="Times New Roman"/>
        </w:rPr>
        <w:t xml:space="preserve"> </w:t>
      </w:r>
      <w:r w:rsidR="006D0EBF" w:rsidRPr="00257EA7">
        <w:rPr>
          <w:rFonts w:ascii="Times New Roman" w:hAnsi="Times New Roman" w:cs="Times New Roman"/>
        </w:rPr>
        <w:t>S. K. Lee. 2011</w:t>
      </w:r>
      <w:r w:rsidR="00B53952" w:rsidRPr="00257EA7">
        <w:rPr>
          <w:rFonts w:ascii="Times New Roman" w:hAnsi="Times New Roman" w:cs="Times New Roman"/>
        </w:rPr>
        <w:t xml:space="preserve">. </w:t>
      </w:r>
      <w:r w:rsidR="006D0EBF" w:rsidRPr="00257EA7">
        <w:rPr>
          <w:rFonts w:ascii="Times New Roman" w:hAnsi="Times New Roman" w:cs="Times New Roman"/>
        </w:rPr>
        <w:t>“What Matters for Marginalized Girls and Boys in Bangladesh: A Capabilities Approach for Understanding Educational Well-being and E</w:t>
      </w:r>
      <w:r w:rsidR="00B53952" w:rsidRPr="00257EA7">
        <w:rPr>
          <w:rFonts w:ascii="Times New Roman" w:hAnsi="Times New Roman" w:cs="Times New Roman"/>
        </w:rPr>
        <w:t>mpowerment.</w:t>
      </w:r>
      <w:r w:rsidR="006D0EBF" w:rsidRPr="00257EA7">
        <w:rPr>
          <w:rFonts w:ascii="Times New Roman" w:hAnsi="Times New Roman" w:cs="Times New Roman"/>
        </w:rPr>
        <w:t>”</w:t>
      </w:r>
      <w:r w:rsidR="00B53952" w:rsidRPr="00257EA7">
        <w:rPr>
          <w:rFonts w:ascii="Times New Roman" w:hAnsi="Times New Roman" w:cs="Times New Roman"/>
        </w:rPr>
        <w:t xml:space="preserve"> </w:t>
      </w:r>
      <w:r w:rsidR="00B53952" w:rsidRPr="00257EA7">
        <w:rPr>
          <w:rFonts w:ascii="Times New Roman" w:hAnsi="Times New Roman" w:cs="Times New Roman"/>
          <w:i/>
          <w:iCs/>
        </w:rPr>
        <w:t>Research in Comparative and International</w:t>
      </w:r>
      <w:r w:rsidR="00B53952" w:rsidRPr="00257EA7">
        <w:rPr>
          <w:rFonts w:ascii="Times New Roman" w:hAnsi="Times New Roman" w:cs="Times New Roman"/>
        </w:rPr>
        <w:t xml:space="preserve"> </w:t>
      </w:r>
      <w:r w:rsidR="00B53952" w:rsidRPr="00257EA7">
        <w:rPr>
          <w:rFonts w:ascii="Times New Roman" w:hAnsi="Times New Roman" w:cs="Times New Roman"/>
          <w:i/>
          <w:iCs/>
        </w:rPr>
        <w:t>Education, 6</w:t>
      </w:r>
      <w:r w:rsidR="00B53952" w:rsidRPr="00257EA7">
        <w:rPr>
          <w:rFonts w:ascii="Times New Roman" w:hAnsi="Times New Roman" w:cs="Times New Roman"/>
        </w:rPr>
        <w:t>(1), 27–42.</w:t>
      </w:r>
    </w:p>
    <w:p w14:paraId="7BE3961A" w14:textId="77777777" w:rsidR="00501F33" w:rsidRDefault="00501F33" w:rsidP="00501F33">
      <w:pPr>
        <w:pStyle w:val="FootnoteText"/>
        <w:spacing w:line="360" w:lineRule="auto"/>
        <w:ind w:left="567" w:hanging="567"/>
        <w:jc w:val="both"/>
        <w:rPr>
          <w:rFonts w:ascii="Times New Roman" w:eastAsia="Arial Unicode MS" w:hAnsi="Times New Roman" w:cs="Times New Roman"/>
          <w:sz w:val="22"/>
          <w:szCs w:val="22"/>
        </w:rPr>
      </w:pPr>
    </w:p>
    <w:p w14:paraId="55BF0CED" w14:textId="1C83C99B" w:rsidR="00A622B0" w:rsidRPr="00257EA7" w:rsidRDefault="006D0EBF" w:rsidP="00501F33">
      <w:pPr>
        <w:pStyle w:val="FootnoteText"/>
        <w:spacing w:line="360" w:lineRule="auto"/>
        <w:ind w:left="567" w:hanging="567"/>
        <w:jc w:val="both"/>
        <w:rPr>
          <w:rFonts w:ascii="Times New Roman" w:eastAsia="Arial Unicode MS" w:hAnsi="Times New Roman" w:cs="Times New Roman"/>
          <w:sz w:val="22"/>
          <w:szCs w:val="22"/>
        </w:rPr>
      </w:pPr>
      <w:r w:rsidRPr="00257EA7">
        <w:rPr>
          <w:rFonts w:ascii="Times New Roman" w:eastAsia="Arial Unicode MS" w:hAnsi="Times New Roman" w:cs="Times New Roman"/>
          <w:sz w:val="22"/>
          <w:szCs w:val="22"/>
        </w:rPr>
        <w:t>Dülger, I. 2004</w:t>
      </w:r>
      <w:r w:rsidR="00B53952" w:rsidRPr="00257EA7">
        <w:rPr>
          <w:rFonts w:ascii="Times New Roman" w:eastAsia="Arial Unicode MS" w:hAnsi="Times New Roman" w:cs="Times New Roman"/>
          <w:sz w:val="22"/>
          <w:szCs w:val="22"/>
        </w:rPr>
        <w:t xml:space="preserve">. “Case Study on Turkey: Rapid Coverage for Compulsory Education Reform”. </w:t>
      </w:r>
      <w:r w:rsidR="00A622B0" w:rsidRPr="00257EA7">
        <w:rPr>
          <w:rFonts w:ascii="Times New Roman" w:eastAsia="Arial Unicode MS" w:hAnsi="Times New Roman" w:cs="Times New Roman"/>
          <w:sz w:val="22"/>
          <w:szCs w:val="22"/>
        </w:rPr>
        <w:t>Paper presented at the annual meeting for the Conference on Scaling Up Poverty Reduction Shanghai, China May 25-27.</w:t>
      </w:r>
    </w:p>
    <w:p w14:paraId="65026FC9" w14:textId="77777777" w:rsidR="00501F33" w:rsidRDefault="00501F33" w:rsidP="00501F33">
      <w:pPr>
        <w:pStyle w:val="FootnoteText"/>
        <w:spacing w:line="360" w:lineRule="auto"/>
        <w:ind w:left="567" w:hanging="567"/>
        <w:jc w:val="both"/>
        <w:rPr>
          <w:rFonts w:ascii="Times New Roman" w:eastAsia="Arial Unicode MS" w:hAnsi="Times New Roman" w:cs="Times New Roman"/>
          <w:sz w:val="22"/>
          <w:szCs w:val="22"/>
        </w:rPr>
      </w:pPr>
    </w:p>
    <w:p w14:paraId="3D6AE26B" w14:textId="2418D979" w:rsidR="00B53952" w:rsidRPr="00257EA7" w:rsidRDefault="006D0EBF" w:rsidP="00501F33">
      <w:pPr>
        <w:pStyle w:val="FootnoteText"/>
        <w:spacing w:line="360" w:lineRule="auto"/>
        <w:ind w:left="567" w:hanging="567"/>
        <w:jc w:val="both"/>
        <w:rPr>
          <w:rStyle w:val="Hyperlink"/>
          <w:rFonts w:ascii="Times New Roman" w:eastAsia="Arial Unicode MS" w:hAnsi="Times New Roman" w:cs="Times New Roman"/>
          <w:sz w:val="22"/>
          <w:szCs w:val="22"/>
        </w:rPr>
      </w:pPr>
      <w:r w:rsidRPr="00257EA7">
        <w:rPr>
          <w:rFonts w:ascii="Times New Roman" w:eastAsia="Arial Unicode MS" w:hAnsi="Times New Roman" w:cs="Times New Roman"/>
          <w:sz w:val="22"/>
          <w:szCs w:val="22"/>
        </w:rPr>
        <w:lastRenderedPageBreak/>
        <w:t>Egitim-Sen. 2013</w:t>
      </w:r>
      <w:r w:rsidR="00B53952" w:rsidRPr="00257EA7">
        <w:rPr>
          <w:rFonts w:ascii="Times New Roman" w:eastAsia="Arial Unicode MS" w:hAnsi="Times New Roman" w:cs="Times New Roman"/>
          <w:sz w:val="22"/>
          <w:szCs w:val="22"/>
        </w:rPr>
        <w:t xml:space="preserve">. </w:t>
      </w:r>
      <w:r w:rsidR="00A622B0" w:rsidRPr="00257EA7">
        <w:rPr>
          <w:rFonts w:ascii="Times New Roman" w:eastAsia="Arial Unicode MS" w:hAnsi="Times New Roman" w:cs="Times New Roman"/>
          <w:sz w:val="22"/>
          <w:szCs w:val="22"/>
        </w:rPr>
        <w:t>“</w:t>
      </w:r>
      <w:r w:rsidR="00B53952" w:rsidRPr="00257EA7">
        <w:rPr>
          <w:rFonts w:ascii="Times New Roman" w:eastAsia="Arial Unicode MS" w:hAnsi="Times New Roman" w:cs="Times New Roman"/>
          <w:sz w:val="22"/>
          <w:szCs w:val="22"/>
        </w:rPr>
        <w:t>11 Eylül Dünya Kiz Çocuklari Gunu’nde Turkiye’de</w:t>
      </w:r>
      <w:r w:rsidR="0066109E" w:rsidRPr="00257EA7">
        <w:rPr>
          <w:rFonts w:ascii="Times New Roman" w:eastAsia="Arial Unicode MS" w:hAnsi="Times New Roman" w:cs="Times New Roman"/>
          <w:sz w:val="22"/>
          <w:szCs w:val="22"/>
        </w:rPr>
        <w:t xml:space="preserve"> </w:t>
      </w:r>
      <w:r w:rsidR="00B53952" w:rsidRPr="00257EA7">
        <w:rPr>
          <w:rFonts w:ascii="Times New Roman" w:eastAsia="Arial Unicode MS" w:hAnsi="Times New Roman" w:cs="Times New Roman"/>
          <w:sz w:val="22"/>
          <w:szCs w:val="22"/>
        </w:rPr>
        <w:t>Hala Cocuk Gelinler ve Cocuk Isciler Var.</w:t>
      </w:r>
      <w:r w:rsidR="00A622B0" w:rsidRPr="00257EA7">
        <w:rPr>
          <w:rFonts w:ascii="Times New Roman" w:eastAsia="Arial Unicode MS" w:hAnsi="Times New Roman" w:cs="Times New Roman"/>
          <w:sz w:val="22"/>
          <w:szCs w:val="22"/>
        </w:rPr>
        <w:t>” [There is Still Child Bride and Child Labour at the Day of World Girls’ on 11</w:t>
      </w:r>
      <w:r w:rsidR="00A622B0" w:rsidRPr="00257EA7">
        <w:rPr>
          <w:rFonts w:ascii="Times New Roman" w:eastAsia="Arial Unicode MS" w:hAnsi="Times New Roman" w:cs="Times New Roman"/>
          <w:sz w:val="22"/>
          <w:szCs w:val="22"/>
          <w:vertAlign w:val="superscript"/>
        </w:rPr>
        <w:t>th</w:t>
      </w:r>
      <w:r w:rsidR="00A622B0" w:rsidRPr="00257EA7">
        <w:rPr>
          <w:rFonts w:ascii="Times New Roman" w:eastAsia="Arial Unicode MS" w:hAnsi="Times New Roman" w:cs="Times New Roman"/>
          <w:sz w:val="22"/>
          <w:szCs w:val="22"/>
        </w:rPr>
        <w:t xml:space="preserve"> September in Turkey</w:t>
      </w:r>
      <w:r w:rsidR="00B53952" w:rsidRPr="00257EA7">
        <w:rPr>
          <w:rFonts w:ascii="Times New Roman" w:eastAsia="Arial Unicode MS" w:hAnsi="Times New Roman" w:cs="Times New Roman"/>
          <w:sz w:val="22"/>
          <w:szCs w:val="22"/>
        </w:rPr>
        <w:t>]</w:t>
      </w:r>
      <w:r w:rsidR="00A5511F" w:rsidRPr="00257EA7">
        <w:rPr>
          <w:rFonts w:ascii="Times New Roman" w:eastAsia="Arial Unicode MS" w:hAnsi="Times New Roman" w:cs="Times New Roman"/>
          <w:sz w:val="22"/>
          <w:szCs w:val="22"/>
        </w:rPr>
        <w:t>. Accessed 20 August 2017.</w:t>
      </w:r>
      <w:r w:rsidR="00B53952" w:rsidRPr="00257EA7">
        <w:rPr>
          <w:rFonts w:ascii="Times New Roman" w:eastAsia="Arial Unicode MS" w:hAnsi="Times New Roman" w:cs="Times New Roman"/>
          <w:sz w:val="22"/>
          <w:szCs w:val="22"/>
        </w:rPr>
        <w:t xml:space="preserve"> </w:t>
      </w:r>
      <w:hyperlink r:id="rId9" w:history="1">
        <w:r w:rsidR="00B53952" w:rsidRPr="00257EA7">
          <w:rPr>
            <w:rStyle w:val="Hyperlink"/>
            <w:rFonts w:ascii="Times New Roman" w:eastAsia="Arial Unicode MS" w:hAnsi="Times New Roman" w:cs="Times New Roman"/>
            <w:sz w:val="22"/>
            <w:szCs w:val="22"/>
          </w:rPr>
          <w:t>http://egitimsen.org.tr/11-ekim-dunya-kiz-cocuklari-gununde-turkiyede-hala-cocuk-gelinler-ve-cocuk-isciler-var/</w:t>
        </w:r>
      </w:hyperlink>
    </w:p>
    <w:p w14:paraId="2987541A" w14:textId="77777777" w:rsidR="00501F33" w:rsidRDefault="00501F33" w:rsidP="00501F33">
      <w:pPr>
        <w:pStyle w:val="FootnoteText"/>
        <w:spacing w:line="360" w:lineRule="auto"/>
        <w:ind w:left="567" w:hanging="567"/>
        <w:jc w:val="both"/>
        <w:rPr>
          <w:rStyle w:val="Hyperlink"/>
          <w:rFonts w:ascii="Times New Roman" w:eastAsia="Arial Unicode MS" w:hAnsi="Times New Roman" w:cs="Times New Roman"/>
          <w:color w:val="auto"/>
          <w:sz w:val="22"/>
          <w:szCs w:val="22"/>
          <w:u w:val="none"/>
        </w:rPr>
      </w:pPr>
    </w:p>
    <w:p w14:paraId="5E5BFC7F" w14:textId="22D69145" w:rsidR="00AE31B2" w:rsidRPr="00257EA7" w:rsidRDefault="00AE31B2" w:rsidP="00501F33">
      <w:pPr>
        <w:pStyle w:val="FootnoteText"/>
        <w:spacing w:line="360" w:lineRule="auto"/>
        <w:ind w:left="567" w:hanging="567"/>
        <w:jc w:val="both"/>
        <w:rPr>
          <w:rStyle w:val="Hyperlink"/>
          <w:rFonts w:ascii="Times New Roman" w:eastAsia="Arial Unicode MS" w:hAnsi="Times New Roman" w:cs="Times New Roman"/>
          <w:color w:val="auto"/>
          <w:sz w:val="22"/>
          <w:szCs w:val="22"/>
          <w:u w:val="none"/>
        </w:rPr>
      </w:pPr>
      <w:r w:rsidRPr="00257EA7">
        <w:rPr>
          <w:rStyle w:val="Hyperlink"/>
          <w:rFonts w:ascii="Times New Roman" w:eastAsia="Arial Unicode MS" w:hAnsi="Times New Roman" w:cs="Times New Roman"/>
          <w:color w:val="auto"/>
          <w:sz w:val="22"/>
          <w:szCs w:val="22"/>
          <w:u w:val="none"/>
        </w:rPr>
        <w:t>Egitim-Sen.2015. “2014</w:t>
      </w:r>
      <w:r w:rsidR="004F1282" w:rsidRPr="00257EA7">
        <w:rPr>
          <w:rStyle w:val="Hyperlink"/>
          <w:rFonts w:ascii="Times New Roman" w:eastAsia="Arial Unicode MS" w:hAnsi="Times New Roman" w:cs="Times New Roman"/>
          <w:color w:val="auto"/>
          <w:sz w:val="22"/>
          <w:szCs w:val="22"/>
          <w:u w:val="none"/>
        </w:rPr>
        <w:t>–</w:t>
      </w:r>
      <w:r w:rsidRPr="00257EA7">
        <w:rPr>
          <w:rStyle w:val="Hyperlink"/>
          <w:rFonts w:ascii="Times New Roman" w:eastAsia="Arial Unicode MS" w:hAnsi="Times New Roman" w:cs="Times New Roman"/>
          <w:color w:val="auto"/>
          <w:sz w:val="22"/>
          <w:szCs w:val="22"/>
          <w:u w:val="none"/>
        </w:rPr>
        <w:t xml:space="preserve">2015 Egitim Ogretim Yilina Baslarken Kiz Cocuklari Egitim Sisteminin Neresinde?” [ While We Are About to Start 2014-2015 school year and Where Do Girls Stand in the Education System?] Accessed </w:t>
      </w:r>
      <w:r w:rsidR="004931C4" w:rsidRPr="00257EA7">
        <w:rPr>
          <w:rStyle w:val="Hyperlink"/>
          <w:rFonts w:ascii="Times New Roman" w:eastAsia="Arial Unicode MS" w:hAnsi="Times New Roman" w:cs="Times New Roman"/>
          <w:color w:val="auto"/>
          <w:sz w:val="22"/>
          <w:szCs w:val="22"/>
          <w:u w:val="none"/>
        </w:rPr>
        <w:t>18 December 2017.</w:t>
      </w:r>
      <w:r w:rsidR="004931C4" w:rsidRPr="00257EA7">
        <w:rPr>
          <w:rFonts w:ascii="Times New Roman" w:hAnsi="Times New Roman" w:cs="Times New Roman"/>
          <w:sz w:val="22"/>
          <w:szCs w:val="22"/>
        </w:rPr>
        <w:t xml:space="preserve"> </w:t>
      </w:r>
      <w:hyperlink r:id="rId10" w:history="1">
        <w:r w:rsidR="004931C4" w:rsidRPr="00257EA7">
          <w:rPr>
            <w:rStyle w:val="Hyperlink"/>
            <w:rFonts w:ascii="Times New Roman" w:eastAsia="Arial Unicode MS" w:hAnsi="Times New Roman" w:cs="Times New Roman"/>
            <w:color w:val="auto"/>
            <w:sz w:val="22"/>
            <w:szCs w:val="22"/>
            <w:u w:val="none"/>
          </w:rPr>
          <w:t>http://egitimsen.org.tr/2014-2015-egitim-ogretim-yili-baslarken-kiz-cocuklari-egitim-sisteminin-neresinde/</w:t>
        </w:r>
      </w:hyperlink>
      <w:r w:rsidR="004931C4" w:rsidRPr="00257EA7">
        <w:rPr>
          <w:rStyle w:val="Hyperlink"/>
          <w:rFonts w:ascii="Times New Roman" w:eastAsia="Arial Unicode MS" w:hAnsi="Times New Roman" w:cs="Times New Roman"/>
          <w:color w:val="auto"/>
          <w:sz w:val="22"/>
          <w:szCs w:val="22"/>
          <w:u w:val="none"/>
        </w:rPr>
        <w:t xml:space="preserve">. </w:t>
      </w:r>
    </w:p>
    <w:p w14:paraId="47B23A5E" w14:textId="77777777" w:rsidR="00501F33" w:rsidRDefault="00501F33" w:rsidP="00501F33">
      <w:pPr>
        <w:pStyle w:val="FootnoteText"/>
        <w:spacing w:line="360" w:lineRule="auto"/>
        <w:ind w:left="567" w:hanging="567"/>
        <w:jc w:val="both"/>
        <w:rPr>
          <w:rFonts w:ascii="Times New Roman" w:eastAsia="Arial Unicode MS" w:hAnsi="Times New Roman" w:cs="Times New Roman"/>
          <w:sz w:val="22"/>
          <w:szCs w:val="22"/>
        </w:rPr>
      </w:pPr>
    </w:p>
    <w:p w14:paraId="53B20B18" w14:textId="750F9A7C" w:rsidR="00765C75" w:rsidRPr="00257EA7" w:rsidRDefault="00765C75" w:rsidP="00501F33">
      <w:pPr>
        <w:pStyle w:val="FootnoteText"/>
        <w:spacing w:line="360" w:lineRule="auto"/>
        <w:ind w:left="567" w:hanging="567"/>
        <w:jc w:val="both"/>
        <w:rPr>
          <w:rFonts w:ascii="Times New Roman" w:eastAsia="Arial Unicode MS" w:hAnsi="Times New Roman" w:cs="Times New Roman"/>
          <w:sz w:val="22"/>
          <w:szCs w:val="22"/>
        </w:rPr>
      </w:pPr>
      <w:r w:rsidRPr="00257EA7">
        <w:rPr>
          <w:rFonts w:ascii="Times New Roman" w:eastAsia="Arial Unicode MS" w:hAnsi="Times New Roman" w:cs="Times New Roman"/>
          <w:sz w:val="22"/>
          <w:szCs w:val="22"/>
        </w:rPr>
        <w:t xml:space="preserve">Eiffe, F. F. 2014. “Implications for a Capability-Based Social Policy: A European Perspective.” </w:t>
      </w:r>
      <w:r w:rsidRPr="00257EA7">
        <w:rPr>
          <w:rFonts w:ascii="Times New Roman" w:eastAsia="Arial Unicode MS" w:hAnsi="Times New Roman" w:cs="Times New Roman"/>
          <w:i/>
          <w:sz w:val="22"/>
          <w:szCs w:val="22"/>
        </w:rPr>
        <w:t>In Enhancing Capabilities: The Role of Social Institutions</w:t>
      </w:r>
      <w:r w:rsidRPr="00257EA7">
        <w:rPr>
          <w:rFonts w:ascii="Times New Roman" w:eastAsia="Arial Unicode MS" w:hAnsi="Times New Roman" w:cs="Times New Roman"/>
          <w:sz w:val="22"/>
          <w:szCs w:val="22"/>
        </w:rPr>
        <w:t>, edited by H. U. Otto and H. Ziegler, 3</w:t>
      </w:r>
      <w:r w:rsidR="002F1975" w:rsidRPr="00257EA7">
        <w:rPr>
          <w:rFonts w:ascii="Times New Roman" w:eastAsia="Arial Unicode MS" w:hAnsi="Times New Roman" w:cs="Times New Roman"/>
          <w:sz w:val="22"/>
          <w:szCs w:val="22"/>
        </w:rPr>
        <w:t>9–54. Opladen: Barbara Budrich.</w:t>
      </w:r>
    </w:p>
    <w:p w14:paraId="1B760895" w14:textId="77777777" w:rsidR="00501F33" w:rsidRDefault="00501F33" w:rsidP="00501F33">
      <w:pPr>
        <w:spacing w:line="360" w:lineRule="auto"/>
        <w:ind w:left="567" w:hanging="567"/>
        <w:jc w:val="both"/>
        <w:rPr>
          <w:rFonts w:ascii="Times New Roman" w:hAnsi="Times New Roman" w:cs="Times New Roman"/>
          <w:color w:val="222222"/>
          <w:shd w:val="clear" w:color="auto" w:fill="FFFFFF"/>
        </w:rPr>
      </w:pPr>
    </w:p>
    <w:p w14:paraId="487CFA03" w14:textId="02D09698" w:rsidR="00B53952" w:rsidRPr="00257EA7" w:rsidRDefault="006D0EBF" w:rsidP="00501F33">
      <w:pPr>
        <w:spacing w:line="360" w:lineRule="auto"/>
        <w:ind w:left="567" w:hanging="567"/>
        <w:jc w:val="both"/>
        <w:rPr>
          <w:rFonts w:ascii="Times New Roman" w:hAnsi="Times New Roman" w:cs="Times New Roman"/>
          <w:color w:val="222222"/>
          <w:shd w:val="clear" w:color="auto" w:fill="FFFFFF"/>
        </w:rPr>
      </w:pPr>
      <w:r w:rsidRPr="00257EA7">
        <w:rPr>
          <w:rFonts w:ascii="Times New Roman" w:hAnsi="Times New Roman" w:cs="Times New Roman"/>
          <w:color w:val="222222"/>
          <w:shd w:val="clear" w:color="auto" w:fill="FFFFFF"/>
        </w:rPr>
        <w:t>Gumus, S., and A. Chudgar. 2016. “Factors Affecting School P</w:t>
      </w:r>
      <w:r w:rsidR="00B53952" w:rsidRPr="00257EA7">
        <w:rPr>
          <w:rFonts w:ascii="Times New Roman" w:hAnsi="Times New Roman" w:cs="Times New Roman"/>
          <w:color w:val="222222"/>
          <w:shd w:val="clear" w:color="auto" w:fill="FFFFFF"/>
        </w:rPr>
        <w:t xml:space="preserve">articipation in Turkey: </w:t>
      </w:r>
      <w:r w:rsidRPr="00257EA7">
        <w:rPr>
          <w:rFonts w:ascii="Times New Roman" w:hAnsi="Times New Roman" w:cs="Times New Roman"/>
          <w:color w:val="222222"/>
          <w:shd w:val="clear" w:color="auto" w:fill="FFFFFF"/>
        </w:rPr>
        <w:t>An Analysis of Regional D</w:t>
      </w:r>
      <w:r w:rsidR="00B53952" w:rsidRPr="00257EA7">
        <w:rPr>
          <w:rFonts w:ascii="Times New Roman" w:hAnsi="Times New Roman" w:cs="Times New Roman"/>
          <w:color w:val="222222"/>
          <w:shd w:val="clear" w:color="auto" w:fill="FFFFFF"/>
        </w:rPr>
        <w:t>ifferences.</w:t>
      </w:r>
      <w:r w:rsidRPr="00257EA7">
        <w:rPr>
          <w:rFonts w:ascii="Times New Roman" w:hAnsi="Times New Roman" w:cs="Times New Roman"/>
          <w:color w:val="222222"/>
          <w:shd w:val="clear" w:color="auto" w:fill="FFFFFF"/>
        </w:rPr>
        <w:t>”</w:t>
      </w:r>
      <w:r w:rsidR="00B53952" w:rsidRPr="00257EA7">
        <w:rPr>
          <w:rFonts w:ascii="Times New Roman" w:hAnsi="Times New Roman" w:cs="Times New Roman"/>
          <w:color w:val="222222"/>
          <w:shd w:val="clear" w:color="auto" w:fill="FFFFFF"/>
        </w:rPr>
        <w:t> </w:t>
      </w:r>
      <w:r w:rsidR="00B53952" w:rsidRPr="00257EA7">
        <w:rPr>
          <w:rFonts w:ascii="Times New Roman" w:hAnsi="Times New Roman" w:cs="Times New Roman"/>
          <w:i/>
          <w:iCs/>
          <w:color w:val="222222"/>
          <w:shd w:val="clear" w:color="auto" w:fill="FFFFFF"/>
        </w:rPr>
        <w:t>Compare: A Journal of Comparative and International Education</w:t>
      </w:r>
      <w:r w:rsidR="00B53952" w:rsidRPr="00257EA7">
        <w:rPr>
          <w:rFonts w:ascii="Times New Roman" w:hAnsi="Times New Roman" w:cs="Times New Roman"/>
          <w:color w:val="222222"/>
          <w:shd w:val="clear" w:color="auto" w:fill="FFFFFF"/>
        </w:rPr>
        <w:t>, </w:t>
      </w:r>
      <w:r w:rsidR="00B53952" w:rsidRPr="00257EA7">
        <w:rPr>
          <w:rFonts w:ascii="Times New Roman" w:hAnsi="Times New Roman" w:cs="Times New Roman"/>
          <w:i/>
          <w:iCs/>
          <w:color w:val="222222"/>
          <w:shd w:val="clear" w:color="auto" w:fill="FFFFFF"/>
        </w:rPr>
        <w:t>46</w:t>
      </w:r>
      <w:r w:rsidR="00B53952" w:rsidRPr="00257EA7">
        <w:rPr>
          <w:rFonts w:ascii="Times New Roman" w:hAnsi="Times New Roman" w:cs="Times New Roman"/>
          <w:color w:val="222222"/>
          <w:shd w:val="clear" w:color="auto" w:fill="FFFFFF"/>
        </w:rPr>
        <w:t>(6), 929-951.</w:t>
      </w:r>
    </w:p>
    <w:p w14:paraId="7D902871" w14:textId="1C8FC9FA" w:rsidR="00B53952" w:rsidRPr="00257EA7" w:rsidRDefault="006D0EBF" w:rsidP="00501F33">
      <w:pPr>
        <w:widowControl w:val="0"/>
        <w:autoSpaceDE w:val="0"/>
        <w:autoSpaceDN w:val="0"/>
        <w:adjustRightInd w:val="0"/>
        <w:spacing w:after="240" w:line="360" w:lineRule="auto"/>
        <w:ind w:left="567" w:hanging="567"/>
        <w:jc w:val="both"/>
        <w:rPr>
          <w:rFonts w:ascii="Times New Roman" w:eastAsia="Arial Unicode MS" w:hAnsi="Times New Roman" w:cs="Times New Roman"/>
        </w:rPr>
      </w:pPr>
      <w:r w:rsidRPr="00257EA7">
        <w:rPr>
          <w:rFonts w:ascii="Times New Roman" w:eastAsia="Arial Unicode MS" w:hAnsi="Times New Roman" w:cs="Times New Roman"/>
        </w:rPr>
        <w:t>Gün, F., and G. A.</w:t>
      </w:r>
      <w:r w:rsidR="0066109E" w:rsidRPr="00257EA7">
        <w:rPr>
          <w:rFonts w:ascii="Times New Roman" w:eastAsia="Arial Unicode MS" w:hAnsi="Times New Roman" w:cs="Times New Roman"/>
        </w:rPr>
        <w:t xml:space="preserve"> </w:t>
      </w:r>
      <w:r w:rsidRPr="00257EA7">
        <w:rPr>
          <w:rFonts w:ascii="Times New Roman" w:eastAsia="Arial Unicode MS" w:hAnsi="Times New Roman" w:cs="Times New Roman"/>
        </w:rPr>
        <w:t>Baskan. 2014</w:t>
      </w:r>
      <w:r w:rsidR="00B53952" w:rsidRPr="00257EA7">
        <w:rPr>
          <w:rFonts w:ascii="Times New Roman" w:eastAsia="Arial Unicode MS" w:hAnsi="Times New Roman" w:cs="Times New Roman"/>
        </w:rPr>
        <w:t xml:space="preserve">. </w:t>
      </w:r>
      <w:r w:rsidRPr="00257EA7">
        <w:rPr>
          <w:rFonts w:ascii="Times New Roman" w:eastAsia="Arial Unicode MS" w:hAnsi="Times New Roman" w:cs="Times New Roman"/>
        </w:rPr>
        <w:t>“</w:t>
      </w:r>
      <w:r w:rsidR="00B53952" w:rsidRPr="00257EA7">
        <w:rPr>
          <w:rFonts w:ascii="Times New Roman" w:eastAsia="Arial Unicode MS" w:hAnsi="Times New Roman" w:cs="Times New Roman"/>
        </w:rPr>
        <w:t>New Education System in Turkey (4 +4 +4): A Critical Outlook.</w:t>
      </w:r>
      <w:r w:rsidRPr="00257EA7">
        <w:rPr>
          <w:rFonts w:ascii="Times New Roman" w:eastAsia="Arial Unicode MS" w:hAnsi="Times New Roman" w:cs="Times New Roman"/>
        </w:rPr>
        <w:t>”</w:t>
      </w:r>
      <w:r w:rsidR="00B53952" w:rsidRPr="00257EA7">
        <w:rPr>
          <w:rFonts w:ascii="Times New Roman" w:eastAsia="Arial Unicode MS" w:hAnsi="Times New Roman" w:cs="Times New Roman"/>
        </w:rPr>
        <w:t xml:space="preserve"> </w:t>
      </w:r>
      <w:r w:rsidR="00B53952" w:rsidRPr="00257EA7">
        <w:rPr>
          <w:rFonts w:ascii="Times New Roman" w:eastAsia="Arial Unicode MS" w:hAnsi="Times New Roman" w:cs="Times New Roman"/>
          <w:i/>
        </w:rPr>
        <w:t>Procedia - Social and Behavioral Sciences. 131</w:t>
      </w:r>
      <w:r w:rsidR="00B53952" w:rsidRPr="00257EA7">
        <w:rPr>
          <w:rFonts w:ascii="Times New Roman" w:eastAsia="Arial Unicode MS" w:hAnsi="Times New Roman" w:cs="Times New Roman"/>
        </w:rPr>
        <w:t xml:space="preserve">, 229-235. </w:t>
      </w:r>
    </w:p>
    <w:p w14:paraId="1E6C71B6" w14:textId="04C76083" w:rsidR="00B53952" w:rsidRPr="00257EA7" w:rsidRDefault="006D0EBF" w:rsidP="00501F33">
      <w:pPr>
        <w:widowControl w:val="0"/>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eastAsia="Arial Unicode MS" w:hAnsi="Times New Roman" w:cs="Times New Roman"/>
        </w:rPr>
        <w:t xml:space="preserve">Güven, I. </w:t>
      </w:r>
      <w:r w:rsidR="00B53952" w:rsidRPr="00257EA7">
        <w:rPr>
          <w:rFonts w:ascii="Times New Roman" w:eastAsia="Arial Unicode MS" w:hAnsi="Times New Roman" w:cs="Times New Roman"/>
        </w:rPr>
        <w:t>2012. “</w:t>
      </w:r>
      <w:r w:rsidR="00B53952" w:rsidRPr="00257EA7">
        <w:rPr>
          <w:rFonts w:ascii="Times New Roman" w:hAnsi="Times New Roman" w:cs="Times New Roman"/>
        </w:rPr>
        <w:t>The 4+4+4 School Refo</w:t>
      </w:r>
      <w:r w:rsidRPr="00257EA7">
        <w:rPr>
          <w:rFonts w:ascii="Times New Roman" w:hAnsi="Times New Roman" w:cs="Times New Roman"/>
        </w:rPr>
        <w:t>rm Bill and the Fatih Project: Is It a Reform?”</w:t>
      </w:r>
      <w:r w:rsidR="00B53952" w:rsidRPr="00257EA7">
        <w:rPr>
          <w:rFonts w:ascii="Times New Roman" w:hAnsi="Times New Roman" w:cs="Times New Roman"/>
        </w:rPr>
        <w:t xml:space="preserve"> </w:t>
      </w:r>
      <w:r w:rsidRPr="00257EA7">
        <w:rPr>
          <w:rFonts w:ascii="Times New Roman" w:hAnsi="Times New Roman" w:cs="Times New Roman"/>
          <w:i/>
        </w:rPr>
        <w:t>Elementary Education Online,</w:t>
      </w:r>
      <w:r w:rsidR="00B53952" w:rsidRPr="00257EA7">
        <w:rPr>
          <w:rFonts w:ascii="Times New Roman" w:hAnsi="Times New Roman" w:cs="Times New Roman"/>
          <w:i/>
        </w:rPr>
        <w:t xml:space="preserve"> 11</w:t>
      </w:r>
      <w:r w:rsidR="00B53952" w:rsidRPr="00257EA7">
        <w:rPr>
          <w:rFonts w:ascii="Times New Roman" w:hAnsi="Times New Roman" w:cs="Times New Roman"/>
        </w:rPr>
        <w:t>(3), 556-577.</w:t>
      </w:r>
      <w:r w:rsidR="00B53952" w:rsidRPr="00257EA7">
        <w:rPr>
          <w:rFonts w:ascii="Times New Roman" w:hAnsi="Times New Roman" w:cs="Times New Roman"/>
          <w:i/>
        </w:rPr>
        <w:t xml:space="preserve"> </w:t>
      </w:r>
    </w:p>
    <w:p w14:paraId="59EB4BE5" w14:textId="77777777" w:rsidR="00501F33" w:rsidRDefault="00501F33" w:rsidP="00501F33">
      <w:pPr>
        <w:widowControl w:val="0"/>
        <w:autoSpaceDE w:val="0"/>
        <w:autoSpaceDN w:val="0"/>
        <w:adjustRightInd w:val="0"/>
        <w:spacing w:after="240" w:line="360" w:lineRule="auto"/>
        <w:ind w:left="567" w:hanging="567"/>
        <w:jc w:val="both"/>
        <w:rPr>
          <w:rFonts w:ascii="Times New Roman" w:hAnsi="Times New Roman" w:cs="Times New Roman"/>
          <w:bCs/>
        </w:rPr>
      </w:pPr>
    </w:p>
    <w:p w14:paraId="2B306FDF" w14:textId="778A292E" w:rsidR="00B53952" w:rsidRPr="00257EA7" w:rsidRDefault="00B53952" w:rsidP="00501F33">
      <w:pPr>
        <w:widowControl w:val="0"/>
        <w:autoSpaceDE w:val="0"/>
        <w:autoSpaceDN w:val="0"/>
        <w:adjustRightInd w:val="0"/>
        <w:spacing w:after="240" w:line="360" w:lineRule="auto"/>
        <w:ind w:left="567" w:hanging="567"/>
        <w:jc w:val="both"/>
        <w:rPr>
          <w:rFonts w:ascii="Times New Roman" w:eastAsia="Arial Unicode MS" w:hAnsi="Times New Roman" w:cs="Times New Roman"/>
        </w:rPr>
      </w:pPr>
      <w:r w:rsidRPr="00257EA7">
        <w:rPr>
          <w:rFonts w:ascii="Times New Roman" w:hAnsi="Times New Roman" w:cs="Times New Roman"/>
          <w:bCs/>
        </w:rPr>
        <w:t>İnal</w:t>
      </w:r>
      <w:r w:rsidR="006D0EBF" w:rsidRPr="00257EA7">
        <w:rPr>
          <w:rFonts w:ascii="Times New Roman" w:hAnsi="Times New Roman" w:cs="Times New Roman"/>
        </w:rPr>
        <w:t>, K. 2012</w:t>
      </w:r>
      <w:r w:rsidRPr="00257EA7">
        <w:rPr>
          <w:rFonts w:ascii="Times New Roman" w:hAnsi="Times New Roman" w:cs="Times New Roman"/>
        </w:rPr>
        <w:t>.</w:t>
      </w:r>
      <w:r w:rsidRPr="00257EA7">
        <w:rPr>
          <w:rFonts w:ascii="Times New Roman" w:eastAsia="Arial Unicode MS" w:hAnsi="Times New Roman" w:cs="Times New Roman"/>
        </w:rPr>
        <w:t xml:space="preserve"> “</w:t>
      </w:r>
      <w:r w:rsidRPr="00257EA7">
        <w:rPr>
          <w:rFonts w:ascii="Times New Roman" w:eastAsia="Arial Unicode MS" w:hAnsi="Times New Roman" w:cs="Times New Roman"/>
          <w:i/>
        </w:rPr>
        <w:t xml:space="preserve">The </w:t>
      </w:r>
      <w:r w:rsidR="006D0EBF" w:rsidRPr="00257EA7">
        <w:rPr>
          <w:rFonts w:ascii="Times New Roman" w:eastAsia="Arial Unicode MS" w:hAnsi="Times New Roman" w:cs="Times New Roman"/>
          <w:i/>
        </w:rPr>
        <w:t>educational politics of the AKP</w:t>
      </w:r>
      <w:r w:rsidRPr="00257EA7">
        <w:rPr>
          <w:rFonts w:ascii="Times New Roman" w:eastAsia="Arial Unicode MS" w:hAnsi="Times New Roman" w:cs="Times New Roman"/>
          <w:i/>
        </w:rPr>
        <w:t>: the collaps</w:t>
      </w:r>
      <w:r w:rsidR="00A33CB2" w:rsidRPr="00257EA7">
        <w:rPr>
          <w:rFonts w:ascii="Times New Roman" w:eastAsia="Arial Unicode MS" w:hAnsi="Times New Roman" w:cs="Times New Roman"/>
          <w:i/>
        </w:rPr>
        <w:t>e of public education in Turkey</w:t>
      </w:r>
      <w:r w:rsidRPr="00257EA7">
        <w:rPr>
          <w:rFonts w:ascii="Times New Roman" w:eastAsia="Arial Unicode MS" w:hAnsi="Times New Roman" w:cs="Times New Roman"/>
          <w:i/>
        </w:rPr>
        <w:t>. Neoliberal transformation of education in Turkey political and ideological analysis of educational reforms in the age of AKP</w:t>
      </w:r>
      <w:r w:rsidRPr="00257EA7">
        <w:rPr>
          <w:rFonts w:ascii="Times New Roman" w:eastAsia="Arial Unicode MS" w:hAnsi="Times New Roman" w:cs="Times New Roman"/>
        </w:rPr>
        <w:t>.</w:t>
      </w:r>
      <w:r w:rsidR="00A33CB2" w:rsidRPr="00257EA7">
        <w:rPr>
          <w:rFonts w:ascii="Times New Roman" w:eastAsia="Arial Unicode MS" w:hAnsi="Times New Roman" w:cs="Times New Roman"/>
        </w:rPr>
        <w:t>”</w:t>
      </w:r>
      <w:r w:rsidRPr="00257EA7">
        <w:rPr>
          <w:rFonts w:ascii="Times New Roman" w:eastAsia="Arial Unicode MS" w:hAnsi="Times New Roman" w:cs="Times New Roman"/>
        </w:rPr>
        <w:t xml:space="preserve"> New York, Palgrave Macmillan.</w:t>
      </w:r>
    </w:p>
    <w:p w14:paraId="26EDA519" w14:textId="6A4AF413" w:rsidR="008A00E4" w:rsidRPr="00257EA7" w:rsidRDefault="008A00E4"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Karlidag-Dennis, E. 2017. Basic Education and Hegemony: Thinking on Ideology, Policymaking and Civil Society. University of Nottingham. Unpublished PhD thesis.</w:t>
      </w:r>
    </w:p>
    <w:p w14:paraId="1857928A" w14:textId="6C1240AA" w:rsidR="00C0029F" w:rsidRPr="00257EA7" w:rsidRDefault="00C0029F" w:rsidP="00501F33">
      <w:pPr>
        <w:spacing w:line="360" w:lineRule="auto"/>
        <w:jc w:val="both"/>
        <w:rPr>
          <w:rFonts w:ascii="Times New Roman" w:hAnsi="Times New Roman" w:cs="Times New Roman"/>
        </w:rPr>
      </w:pPr>
      <w:r w:rsidRPr="00257EA7">
        <w:rPr>
          <w:rFonts w:ascii="Times New Roman" w:hAnsi="Times New Roman" w:cs="Times New Roman"/>
          <w:color w:val="222222"/>
          <w:shd w:val="clear" w:color="auto" w:fill="FFFFFF"/>
        </w:rPr>
        <w:t>Kanci, T., and Altinay, G. 2007. “Educating Little Soldiers and Little Ayses: Militarised and Gendered Citizenship in Turkish Textbooks”</w:t>
      </w:r>
      <w:r w:rsidR="00F82B23" w:rsidRPr="00257EA7">
        <w:rPr>
          <w:rFonts w:ascii="Times New Roman" w:hAnsi="Times New Roman" w:cs="Times New Roman"/>
          <w:color w:val="222222"/>
          <w:shd w:val="clear" w:color="auto" w:fill="FFFFFF"/>
        </w:rPr>
        <w:t xml:space="preserve">. </w:t>
      </w:r>
      <w:r w:rsidR="00F82B23" w:rsidRPr="00257EA7">
        <w:rPr>
          <w:rFonts w:ascii="Times New Roman" w:hAnsi="Times New Roman" w:cs="Times New Roman"/>
          <w:i/>
          <w:color w:val="222222"/>
          <w:shd w:val="clear" w:color="auto" w:fill="FFFFFF"/>
        </w:rPr>
        <w:t>Education in Multicultural Societies: Turkish and Swedish Perspectives.</w:t>
      </w:r>
      <w:r w:rsidR="00F82B23" w:rsidRPr="00257EA7">
        <w:rPr>
          <w:rFonts w:ascii="Times New Roman" w:hAnsi="Times New Roman" w:cs="Times New Roman"/>
          <w:color w:val="222222"/>
          <w:shd w:val="clear" w:color="auto" w:fill="FFFFFF"/>
        </w:rPr>
        <w:t xml:space="preserve"> 52-70. Swedish Institute in Istanbul.</w:t>
      </w:r>
      <w:r w:rsidR="0066109E" w:rsidRPr="00257EA7">
        <w:rPr>
          <w:rFonts w:ascii="Times New Roman" w:hAnsi="Times New Roman" w:cs="Times New Roman"/>
          <w:color w:val="222222"/>
          <w:shd w:val="clear" w:color="auto" w:fill="FFFFFF"/>
        </w:rPr>
        <w:t xml:space="preserve"> </w:t>
      </w:r>
    </w:p>
    <w:p w14:paraId="544AE0A9" w14:textId="2A18B5D7" w:rsidR="00B53952" w:rsidRPr="00257EA7" w:rsidRDefault="00A33CB2" w:rsidP="00501F33">
      <w:pPr>
        <w:spacing w:line="360" w:lineRule="auto"/>
        <w:ind w:left="567" w:hanging="567"/>
        <w:jc w:val="both"/>
        <w:rPr>
          <w:rFonts w:ascii="Times New Roman" w:hAnsi="Times New Roman" w:cs="Times New Roman"/>
        </w:rPr>
      </w:pPr>
      <w:r w:rsidRPr="00257EA7">
        <w:rPr>
          <w:rFonts w:ascii="Times New Roman" w:hAnsi="Times New Roman" w:cs="Times New Roman"/>
          <w:color w:val="222222"/>
          <w:shd w:val="clear" w:color="auto" w:fill="FFFFFF"/>
        </w:rPr>
        <w:t xml:space="preserve">Loots, S., and M. Walker. 2016. “A Capabilities-based Gender Equality Policy for Higher Education: Conceptual and Methodological Considerations.” </w:t>
      </w:r>
      <w:r w:rsidR="00B53952" w:rsidRPr="00257EA7">
        <w:rPr>
          <w:rFonts w:ascii="Times New Roman" w:hAnsi="Times New Roman" w:cs="Times New Roman"/>
          <w:i/>
          <w:iCs/>
          <w:color w:val="222222"/>
          <w:shd w:val="clear" w:color="auto" w:fill="FFFFFF"/>
        </w:rPr>
        <w:t>Journal of Human Development and Capabilities</w:t>
      </w:r>
      <w:r w:rsidR="00B53952" w:rsidRPr="00257EA7">
        <w:rPr>
          <w:rFonts w:ascii="Times New Roman" w:hAnsi="Times New Roman" w:cs="Times New Roman"/>
          <w:color w:val="222222"/>
          <w:shd w:val="clear" w:color="auto" w:fill="FFFFFF"/>
        </w:rPr>
        <w:t>, </w:t>
      </w:r>
      <w:r w:rsidR="00B53952" w:rsidRPr="00257EA7">
        <w:rPr>
          <w:rFonts w:ascii="Times New Roman" w:hAnsi="Times New Roman" w:cs="Times New Roman"/>
          <w:i/>
          <w:iCs/>
          <w:color w:val="222222"/>
          <w:shd w:val="clear" w:color="auto" w:fill="FFFFFF"/>
        </w:rPr>
        <w:t>17</w:t>
      </w:r>
      <w:r w:rsidR="00B53952" w:rsidRPr="00257EA7">
        <w:rPr>
          <w:rFonts w:ascii="Times New Roman" w:hAnsi="Times New Roman" w:cs="Times New Roman"/>
          <w:color w:val="222222"/>
          <w:shd w:val="clear" w:color="auto" w:fill="FFFFFF"/>
        </w:rPr>
        <w:t>(2), 260-277.</w:t>
      </w:r>
    </w:p>
    <w:p w14:paraId="1752CC3E" w14:textId="637AE569" w:rsidR="00AB16AB" w:rsidRDefault="00A33CB2" w:rsidP="00501F33">
      <w:pPr>
        <w:autoSpaceDE w:val="0"/>
        <w:autoSpaceDN w:val="0"/>
        <w:adjustRightInd w:val="0"/>
        <w:spacing w:after="0" w:line="360" w:lineRule="auto"/>
        <w:ind w:left="426" w:hanging="426"/>
        <w:jc w:val="both"/>
        <w:rPr>
          <w:rFonts w:ascii="Times New Roman" w:hAnsi="Times New Roman" w:cs="Times New Roman"/>
        </w:rPr>
      </w:pPr>
      <w:r w:rsidRPr="00257EA7">
        <w:rPr>
          <w:rFonts w:ascii="Times New Roman" w:hAnsi="Times New Roman" w:cs="Times New Roman"/>
        </w:rPr>
        <w:lastRenderedPageBreak/>
        <w:t>McClure, K. R. 2014. “Education for Economic G</w:t>
      </w:r>
      <w:r w:rsidR="00B53952" w:rsidRPr="00257EA7">
        <w:rPr>
          <w:rFonts w:ascii="Times New Roman" w:hAnsi="Times New Roman" w:cs="Times New Roman"/>
        </w:rPr>
        <w:t>ro</w:t>
      </w:r>
      <w:r w:rsidRPr="00257EA7">
        <w:rPr>
          <w:rFonts w:ascii="Times New Roman" w:hAnsi="Times New Roman" w:cs="Times New Roman"/>
        </w:rPr>
        <w:t>wth or Human Development? The Capabilities A</w:t>
      </w:r>
      <w:r w:rsidR="00B53952" w:rsidRPr="00257EA7">
        <w:rPr>
          <w:rFonts w:ascii="Times New Roman" w:hAnsi="Times New Roman" w:cs="Times New Roman"/>
        </w:rPr>
        <w:t>pproach and the World Bank’s Basic Education Project in Turkey.</w:t>
      </w:r>
      <w:r w:rsidRPr="00257EA7">
        <w:rPr>
          <w:rFonts w:ascii="Times New Roman" w:hAnsi="Times New Roman" w:cs="Times New Roman"/>
        </w:rPr>
        <w:t>”</w:t>
      </w:r>
      <w:r w:rsidR="00B53952" w:rsidRPr="00257EA7">
        <w:rPr>
          <w:rFonts w:ascii="Times New Roman" w:hAnsi="Times New Roman" w:cs="Times New Roman"/>
        </w:rPr>
        <w:t xml:space="preserve"> </w:t>
      </w:r>
      <w:r w:rsidR="00B53952" w:rsidRPr="00257EA7">
        <w:rPr>
          <w:rFonts w:ascii="Times New Roman" w:hAnsi="Times New Roman" w:cs="Times New Roman"/>
          <w:i/>
          <w:iCs/>
        </w:rPr>
        <w:t>Compare: A Journal of Comparative and International Education,</w:t>
      </w:r>
      <w:r w:rsidR="00B53952" w:rsidRPr="00257EA7">
        <w:rPr>
          <w:rFonts w:ascii="Times New Roman" w:hAnsi="Times New Roman" w:cs="Times New Roman"/>
        </w:rPr>
        <w:t xml:space="preserve"> </w:t>
      </w:r>
      <w:r w:rsidR="00B53952" w:rsidRPr="00257EA7">
        <w:rPr>
          <w:rFonts w:ascii="Times New Roman" w:hAnsi="Times New Roman" w:cs="Times New Roman"/>
          <w:i/>
          <w:iCs/>
        </w:rPr>
        <w:t>4</w:t>
      </w:r>
      <w:r w:rsidR="00B53952" w:rsidRPr="00257EA7">
        <w:rPr>
          <w:rFonts w:ascii="Times New Roman" w:hAnsi="Times New Roman" w:cs="Times New Roman"/>
        </w:rPr>
        <w:t>(3), 472–492.</w:t>
      </w:r>
    </w:p>
    <w:p w14:paraId="7CBFC9D4" w14:textId="77777777" w:rsidR="00501F33" w:rsidRPr="00501F33" w:rsidRDefault="00501F33" w:rsidP="00501F33">
      <w:pPr>
        <w:autoSpaceDE w:val="0"/>
        <w:autoSpaceDN w:val="0"/>
        <w:adjustRightInd w:val="0"/>
        <w:spacing w:after="0" w:line="360" w:lineRule="auto"/>
        <w:ind w:left="426" w:hanging="426"/>
        <w:jc w:val="both"/>
        <w:rPr>
          <w:rFonts w:ascii="Times New Roman" w:hAnsi="Times New Roman" w:cs="Times New Roman"/>
        </w:rPr>
      </w:pPr>
    </w:p>
    <w:p w14:paraId="23D0AB92" w14:textId="1347B88A" w:rsidR="00AB16AB" w:rsidRPr="00257EA7" w:rsidRDefault="00AB16AB" w:rsidP="00501F33">
      <w:pPr>
        <w:widowControl w:val="0"/>
        <w:autoSpaceDE w:val="0"/>
        <w:autoSpaceDN w:val="0"/>
        <w:adjustRightInd w:val="0"/>
        <w:spacing w:after="240" w:line="360" w:lineRule="auto"/>
        <w:jc w:val="both"/>
        <w:rPr>
          <w:rFonts w:ascii="Times New Roman" w:hAnsi="Times New Roman" w:cs="Times New Roman"/>
        </w:rPr>
      </w:pPr>
      <w:r w:rsidRPr="00257EA7">
        <w:rPr>
          <w:rFonts w:ascii="Times New Roman" w:eastAsia="Arial Unicode MS" w:hAnsi="Times New Roman" w:cs="Times New Roman"/>
        </w:rPr>
        <w:t>Ministry of Natio</w:t>
      </w:r>
      <w:r w:rsidR="00965939" w:rsidRPr="00257EA7">
        <w:rPr>
          <w:rFonts w:ascii="Times New Roman" w:eastAsia="Arial Unicode MS" w:hAnsi="Times New Roman" w:cs="Times New Roman"/>
        </w:rPr>
        <w:t>n</w:t>
      </w:r>
      <w:r w:rsidRPr="00257EA7">
        <w:rPr>
          <w:rFonts w:ascii="Times New Roman" w:eastAsia="Arial Unicode MS" w:hAnsi="Times New Roman" w:cs="Times New Roman"/>
        </w:rPr>
        <w:t xml:space="preserve">al Education.2012. </w:t>
      </w:r>
      <w:r w:rsidRPr="00257EA7">
        <w:rPr>
          <w:rFonts w:ascii="Times New Roman" w:eastAsia="Arial Unicode MS" w:hAnsi="Times New Roman" w:cs="Times New Roman"/>
          <w:i/>
        </w:rPr>
        <w:t>12 Yil Zorunlu Egitim Sorular-Cevaplar.</w:t>
      </w:r>
      <w:r w:rsidRPr="00257EA7">
        <w:rPr>
          <w:rFonts w:ascii="Times New Roman" w:hAnsi="Times New Roman" w:cs="Times New Roman"/>
          <w:i/>
        </w:rPr>
        <w:t xml:space="preserve"> </w:t>
      </w:r>
      <w:r w:rsidRPr="00257EA7">
        <w:rPr>
          <w:rFonts w:ascii="Times New Roman" w:hAnsi="Times New Roman" w:cs="Times New Roman"/>
        </w:rPr>
        <w:t xml:space="preserve">Ankara. [Online] Available at: </w:t>
      </w:r>
      <w:hyperlink r:id="rId11" w:history="1">
        <w:r w:rsidRPr="00257EA7">
          <w:rPr>
            <w:rStyle w:val="Hyperlink"/>
            <w:rFonts w:ascii="Times New Roman" w:hAnsi="Times New Roman" w:cs="Times New Roman"/>
          </w:rPr>
          <w:t>http://www.meb.gov.tr/duyurular/duyurular2012/12Yil_Soru_Cevaplar.pdf</w:t>
        </w:r>
      </w:hyperlink>
      <w:r w:rsidRPr="00257EA7">
        <w:rPr>
          <w:rFonts w:ascii="Times New Roman" w:hAnsi="Times New Roman" w:cs="Times New Roman"/>
        </w:rPr>
        <w:t xml:space="preserve">. </w:t>
      </w:r>
    </w:p>
    <w:p w14:paraId="3A7B3512" w14:textId="5D46D758" w:rsidR="00B53952" w:rsidRPr="00257EA7" w:rsidRDefault="00383B22" w:rsidP="00501F33">
      <w:pPr>
        <w:spacing w:line="360" w:lineRule="auto"/>
        <w:ind w:left="567" w:hanging="567"/>
        <w:jc w:val="both"/>
        <w:rPr>
          <w:rFonts w:ascii="Times New Roman" w:hAnsi="Times New Roman" w:cs="Times New Roman"/>
        </w:rPr>
      </w:pPr>
      <w:r w:rsidRPr="00257EA7">
        <w:rPr>
          <w:rFonts w:ascii="Times New Roman" w:hAnsi="Times New Roman" w:cs="Times New Roman"/>
          <w:color w:val="222222"/>
          <w:shd w:val="clear" w:color="auto" w:fill="FFFFFF"/>
        </w:rPr>
        <w:t>Ministry of National Education.</w:t>
      </w:r>
      <w:r w:rsidR="00A33CB2" w:rsidRPr="00257EA7">
        <w:rPr>
          <w:rFonts w:ascii="Times New Roman" w:hAnsi="Times New Roman" w:cs="Times New Roman"/>
          <w:color w:val="222222"/>
          <w:shd w:val="clear" w:color="auto" w:fill="FFFFFF"/>
        </w:rPr>
        <w:t xml:space="preserve"> </w:t>
      </w:r>
      <w:r w:rsidR="00B53952" w:rsidRPr="00257EA7">
        <w:rPr>
          <w:rFonts w:ascii="Times New Roman" w:hAnsi="Times New Roman" w:cs="Times New Roman"/>
          <w:color w:val="222222"/>
          <w:shd w:val="clear" w:color="auto" w:fill="FFFFFF"/>
        </w:rPr>
        <w:t>2016</w:t>
      </w:r>
      <w:r w:rsidR="00A33CB2" w:rsidRPr="00257EA7">
        <w:rPr>
          <w:rFonts w:ascii="Times New Roman" w:hAnsi="Times New Roman" w:cs="Times New Roman"/>
          <w:color w:val="222222"/>
          <w:shd w:val="clear" w:color="auto" w:fill="FFFFFF"/>
        </w:rPr>
        <w:t>.</w:t>
      </w:r>
      <w:r w:rsidR="00B53952" w:rsidRPr="00257EA7">
        <w:rPr>
          <w:rFonts w:ascii="Times New Roman" w:hAnsi="Times New Roman" w:cs="Times New Roman"/>
          <w:color w:val="222222"/>
          <w:shd w:val="clear" w:color="auto" w:fill="FFFFFF"/>
        </w:rPr>
        <w:t xml:space="preserve"> </w:t>
      </w:r>
      <w:r w:rsidR="00A5511F" w:rsidRPr="00257EA7">
        <w:rPr>
          <w:rFonts w:ascii="Times New Roman" w:hAnsi="Times New Roman" w:cs="Times New Roman"/>
          <w:color w:val="222222"/>
          <w:shd w:val="clear" w:color="auto" w:fill="FFFFFF"/>
        </w:rPr>
        <w:t>“</w:t>
      </w:r>
      <w:r w:rsidR="00B53952" w:rsidRPr="00257EA7">
        <w:rPr>
          <w:rFonts w:ascii="Times New Roman" w:hAnsi="Times New Roman" w:cs="Times New Roman"/>
          <w:color w:val="222222"/>
          <w:shd w:val="clear" w:color="auto" w:fill="FFFFFF"/>
        </w:rPr>
        <w:t>National Education Statistic</w:t>
      </w:r>
      <w:r w:rsidR="00A5511F" w:rsidRPr="00257EA7">
        <w:rPr>
          <w:rFonts w:ascii="Times New Roman" w:hAnsi="Times New Roman" w:cs="Times New Roman"/>
          <w:color w:val="222222"/>
          <w:shd w:val="clear" w:color="auto" w:fill="FFFFFF"/>
        </w:rPr>
        <w:t xml:space="preserve">s: Formal Education 2015/2016.” Accessed 21 July 2017. </w:t>
      </w:r>
      <w:r w:rsidR="00B53952" w:rsidRPr="00257EA7">
        <w:rPr>
          <w:rFonts w:ascii="Times New Roman" w:hAnsi="Times New Roman" w:cs="Times New Roman"/>
          <w:color w:val="222222"/>
          <w:shd w:val="clear" w:color="auto" w:fill="FFFFFF"/>
        </w:rPr>
        <w:t>http://sgb.meb.gov.tr/meb_iys_dosyalar/2016_03/18024009_meb_istatistikleri_orgun_egitim_2015_2016.</w:t>
      </w:r>
      <w:r w:rsidR="00B53952" w:rsidRPr="00257EA7">
        <w:rPr>
          <w:rFonts w:ascii="Times New Roman" w:eastAsia="Times New Roman" w:hAnsi="Times New Roman" w:cs="Times New Roman"/>
          <w:bCs/>
          <w:color w:val="2E2E2E"/>
          <w:lang w:eastAsia="en-GB"/>
        </w:rPr>
        <w:t>pdf</w:t>
      </w:r>
    </w:p>
    <w:p w14:paraId="7B55DF7A" w14:textId="2A182B6D" w:rsidR="00E7356D" w:rsidRPr="00257EA7" w:rsidRDefault="00A33CB2" w:rsidP="00501F33">
      <w:pPr>
        <w:shd w:val="clear" w:color="auto" w:fill="FFFFFF"/>
        <w:spacing w:after="0" w:line="360" w:lineRule="auto"/>
        <w:jc w:val="both"/>
        <w:rPr>
          <w:rFonts w:ascii="Times New Roman" w:hAnsi="Times New Roman" w:cs="Times New Roman"/>
          <w:color w:val="222222"/>
          <w:shd w:val="clear" w:color="auto" w:fill="FFFFFF"/>
        </w:rPr>
      </w:pPr>
      <w:r w:rsidRPr="00257EA7">
        <w:rPr>
          <w:rFonts w:ascii="Times New Roman" w:hAnsi="Times New Roman" w:cs="Times New Roman"/>
          <w:color w:val="222222"/>
          <w:shd w:val="clear" w:color="auto" w:fill="FFFFFF"/>
        </w:rPr>
        <w:t xml:space="preserve">Nohl, A. 2008. </w:t>
      </w:r>
      <w:r w:rsidR="00206888" w:rsidRPr="00257EA7">
        <w:rPr>
          <w:rFonts w:ascii="Times New Roman" w:hAnsi="Times New Roman" w:cs="Times New Roman"/>
          <w:color w:val="222222"/>
          <w:shd w:val="clear" w:color="auto" w:fill="FFFFFF"/>
        </w:rPr>
        <w:t>“</w:t>
      </w:r>
      <w:r w:rsidRPr="00257EA7">
        <w:rPr>
          <w:rFonts w:ascii="Times New Roman" w:hAnsi="Times New Roman" w:cs="Times New Roman"/>
          <w:color w:val="222222"/>
          <w:shd w:val="clear" w:color="auto" w:fill="FFFFFF"/>
        </w:rPr>
        <w:t>The Turkish Education System and Its H</w:t>
      </w:r>
      <w:r w:rsidR="00E7356D" w:rsidRPr="00257EA7">
        <w:rPr>
          <w:rFonts w:ascii="Times New Roman" w:hAnsi="Times New Roman" w:cs="Times New Roman"/>
          <w:color w:val="222222"/>
          <w:shd w:val="clear" w:color="auto" w:fill="FFFFFF"/>
        </w:rPr>
        <w:t>istory.</w:t>
      </w:r>
      <w:r w:rsidR="00206888" w:rsidRPr="00257EA7">
        <w:rPr>
          <w:rFonts w:ascii="Times New Roman" w:hAnsi="Times New Roman" w:cs="Times New Roman"/>
          <w:color w:val="222222"/>
          <w:shd w:val="clear" w:color="auto" w:fill="FFFFFF"/>
        </w:rPr>
        <w:t>”</w:t>
      </w:r>
      <w:r w:rsidR="00E7356D" w:rsidRPr="00257EA7">
        <w:rPr>
          <w:rFonts w:ascii="Times New Roman" w:hAnsi="Times New Roman" w:cs="Times New Roman"/>
          <w:color w:val="222222"/>
          <w:shd w:val="clear" w:color="auto" w:fill="FFFFFF"/>
        </w:rPr>
        <w:t xml:space="preserve"> In</w:t>
      </w:r>
      <w:r w:rsidR="00206888" w:rsidRPr="00257EA7">
        <w:rPr>
          <w:rFonts w:ascii="Times New Roman" w:hAnsi="Times New Roman" w:cs="Times New Roman"/>
          <w:color w:val="222222"/>
          <w:shd w:val="clear" w:color="auto" w:fill="FFFFFF"/>
        </w:rPr>
        <w:t xml:space="preserve"> Education in Turkey, edited by</w:t>
      </w:r>
      <w:r w:rsidR="00501F33">
        <w:rPr>
          <w:rFonts w:ascii="Times New Roman" w:hAnsi="Times New Roman" w:cs="Times New Roman"/>
          <w:color w:val="222222"/>
          <w:shd w:val="clear" w:color="auto" w:fill="FFFFFF"/>
        </w:rPr>
        <w:t xml:space="preserve">  </w:t>
      </w:r>
      <w:r w:rsidR="00E7356D" w:rsidRPr="00257EA7">
        <w:rPr>
          <w:rFonts w:ascii="Times New Roman" w:hAnsi="Times New Roman" w:cs="Times New Roman"/>
          <w:color w:val="222222"/>
          <w:shd w:val="clear" w:color="auto" w:fill="FFFFFF"/>
        </w:rPr>
        <w:t xml:space="preserve">Nohl, </w:t>
      </w:r>
      <w:r w:rsidR="00206888" w:rsidRPr="00257EA7">
        <w:rPr>
          <w:rFonts w:ascii="Times New Roman" w:hAnsi="Times New Roman" w:cs="Times New Roman"/>
          <w:color w:val="222222"/>
          <w:shd w:val="clear" w:color="auto" w:fill="FFFFFF"/>
        </w:rPr>
        <w:t>A. M., A. Akkoyunlu-</w:t>
      </w:r>
      <w:r w:rsidR="00E7356D" w:rsidRPr="00257EA7">
        <w:rPr>
          <w:rFonts w:ascii="Times New Roman" w:hAnsi="Times New Roman" w:cs="Times New Roman"/>
          <w:color w:val="222222"/>
          <w:shd w:val="clear" w:color="auto" w:fill="FFFFFF"/>
        </w:rPr>
        <w:t xml:space="preserve">Wigley, &amp; S. Wigley (Eds.), </w:t>
      </w:r>
      <w:r w:rsidR="00206888" w:rsidRPr="00257EA7">
        <w:rPr>
          <w:rFonts w:ascii="Times New Roman" w:hAnsi="Times New Roman" w:cs="Times New Roman"/>
          <w:color w:val="222222"/>
          <w:shd w:val="clear" w:color="auto" w:fill="FFFFFF"/>
        </w:rPr>
        <w:t>15–48</w:t>
      </w:r>
      <w:r w:rsidR="00E7356D" w:rsidRPr="00257EA7">
        <w:rPr>
          <w:rFonts w:ascii="Times New Roman" w:hAnsi="Times New Roman" w:cs="Times New Roman"/>
          <w:color w:val="222222"/>
          <w:shd w:val="clear" w:color="auto" w:fill="FFFFFF"/>
        </w:rPr>
        <w:t xml:space="preserve">. </w:t>
      </w:r>
      <w:r w:rsidRPr="00257EA7">
        <w:rPr>
          <w:rFonts w:ascii="Times New Roman" w:hAnsi="Times New Roman" w:cs="Times New Roman"/>
          <w:color w:val="222222"/>
          <w:shd w:val="clear" w:color="auto" w:fill="FFFFFF"/>
        </w:rPr>
        <w:t xml:space="preserve">Munster: </w:t>
      </w:r>
      <w:r w:rsidR="00206888" w:rsidRPr="00257EA7">
        <w:rPr>
          <w:rFonts w:ascii="Times New Roman" w:hAnsi="Times New Roman" w:cs="Times New Roman"/>
          <w:color w:val="222222"/>
          <w:shd w:val="clear" w:color="auto" w:fill="FFFFFF"/>
        </w:rPr>
        <w:t>Waxman</w:t>
      </w:r>
      <w:r w:rsidR="00E7356D" w:rsidRPr="00257EA7">
        <w:rPr>
          <w:rFonts w:ascii="Times New Roman" w:hAnsi="Times New Roman" w:cs="Times New Roman"/>
          <w:color w:val="222222"/>
          <w:shd w:val="clear" w:color="auto" w:fill="FFFFFF"/>
        </w:rPr>
        <w:t>.</w:t>
      </w:r>
    </w:p>
    <w:p w14:paraId="525F38F0"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1B551E75" w14:textId="2B7E2ABF" w:rsidR="00501F33" w:rsidRPr="00257EA7" w:rsidRDefault="00A33CB2"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Nussbaum, M. 2000</w:t>
      </w:r>
      <w:r w:rsidR="00B53952" w:rsidRPr="00257EA7">
        <w:rPr>
          <w:rFonts w:ascii="Times New Roman" w:hAnsi="Times New Roman" w:cs="Times New Roman"/>
        </w:rPr>
        <w:t xml:space="preserve">. </w:t>
      </w:r>
      <w:r w:rsidRPr="00257EA7">
        <w:rPr>
          <w:rFonts w:ascii="Times New Roman" w:hAnsi="Times New Roman" w:cs="Times New Roman"/>
          <w:i/>
          <w:iCs/>
        </w:rPr>
        <w:t>Women and Human Development: The Capabilities A</w:t>
      </w:r>
      <w:r w:rsidR="00B53952" w:rsidRPr="00257EA7">
        <w:rPr>
          <w:rFonts w:ascii="Times New Roman" w:hAnsi="Times New Roman" w:cs="Times New Roman"/>
          <w:i/>
          <w:iCs/>
        </w:rPr>
        <w:t>pproach</w:t>
      </w:r>
      <w:r w:rsidR="00B53952" w:rsidRPr="00257EA7">
        <w:rPr>
          <w:rFonts w:ascii="Times New Roman" w:hAnsi="Times New Roman" w:cs="Times New Roman"/>
        </w:rPr>
        <w:t>. Cambridge: Cambridge University Press.</w:t>
      </w:r>
    </w:p>
    <w:p w14:paraId="7C46BF13" w14:textId="77777777" w:rsidR="00501F33" w:rsidRDefault="00501F33" w:rsidP="00501F33">
      <w:pPr>
        <w:spacing w:after="0" w:line="240" w:lineRule="auto"/>
        <w:jc w:val="both"/>
        <w:rPr>
          <w:rFonts w:ascii="Times New Roman" w:eastAsia="Times New Roman" w:hAnsi="Times New Roman" w:cs="Times New Roman"/>
          <w:lang w:eastAsia="en-GB"/>
        </w:rPr>
      </w:pPr>
    </w:p>
    <w:p w14:paraId="34F85D83" w14:textId="5E3D2DA8" w:rsidR="001749A3" w:rsidRPr="00257EA7" w:rsidRDefault="001749A3" w:rsidP="00501F33">
      <w:pPr>
        <w:spacing w:after="0" w:line="240" w:lineRule="auto"/>
        <w:jc w:val="both"/>
        <w:rPr>
          <w:rFonts w:ascii="Times New Roman" w:eastAsia="Times New Roman" w:hAnsi="Times New Roman" w:cs="Times New Roman"/>
          <w:lang w:eastAsia="en-GB"/>
        </w:rPr>
      </w:pPr>
      <w:r w:rsidRPr="00257EA7">
        <w:rPr>
          <w:rFonts w:ascii="Times New Roman" w:eastAsia="Times New Roman" w:hAnsi="Times New Roman" w:cs="Times New Roman"/>
          <w:lang w:eastAsia="en-GB"/>
        </w:rPr>
        <w:t xml:space="preserve">Özaydınlık, K. (2014). Toplumsal cinsiyet temelinde Türkiye’de kadın ve eğitim. </w:t>
      </w:r>
      <w:r w:rsidRPr="00257EA7">
        <w:rPr>
          <w:rFonts w:ascii="Times New Roman" w:eastAsia="Times New Roman" w:hAnsi="Times New Roman" w:cs="Times New Roman"/>
          <w:i/>
          <w:iCs/>
          <w:lang w:eastAsia="en-GB"/>
        </w:rPr>
        <w:t>Sosyal Politika Çalışmaları Dergisi</w:t>
      </w:r>
      <w:r w:rsidRPr="00257EA7">
        <w:rPr>
          <w:rFonts w:ascii="Times New Roman" w:eastAsia="Times New Roman" w:hAnsi="Times New Roman" w:cs="Times New Roman"/>
          <w:lang w:eastAsia="en-GB"/>
        </w:rPr>
        <w:t>, 33, 93-112.</w:t>
      </w:r>
    </w:p>
    <w:p w14:paraId="5758BE93" w14:textId="77777777" w:rsidR="00550AED" w:rsidRPr="00257EA7" w:rsidRDefault="00550AED" w:rsidP="00501F33">
      <w:pPr>
        <w:pStyle w:val="Bibliography"/>
        <w:spacing w:line="240" w:lineRule="auto"/>
        <w:jc w:val="both"/>
        <w:rPr>
          <w:rFonts w:ascii="Times New Roman" w:hAnsi="Times New Roman" w:cs="Times New Roman"/>
        </w:rPr>
      </w:pPr>
    </w:p>
    <w:p w14:paraId="61CED89C" w14:textId="6868E63A" w:rsidR="00550AED" w:rsidRPr="00257EA7" w:rsidRDefault="00550AED" w:rsidP="00501F33">
      <w:pPr>
        <w:pStyle w:val="Bibliography"/>
        <w:spacing w:line="240" w:lineRule="auto"/>
        <w:jc w:val="both"/>
        <w:rPr>
          <w:rFonts w:ascii="Times New Roman" w:hAnsi="Times New Roman" w:cs="Times New Roman"/>
        </w:rPr>
      </w:pPr>
      <w:r w:rsidRPr="00257EA7">
        <w:rPr>
          <w:rFonts w:ascii="Times New Roman" w:hAnsi="Times New Roman" w:cs="Times New Roman"/>
        </w:rPr>
        <w:t>Özmen, Ü.</w:t>
      </w:r>
      <w:r w:rsidR="008827F1" w:rsidRPr="00257EA7">
        <w:rPr>
          <w:rFonts w:ascii="Times New Roman" w:hAnsi="Times New Roman" w:cs="Times New Roman"/>
        </w:rPr>
        <w:t xml:space="preserve"> </w:t>
      </w:r>
      <w:r w:rsidR="00501F33">
        <w:rPr>
          <w:rFonts w:ascii="Times New Roman" w:hAnsi="Times New Roman" w:cs="Times New Roman"/>
        </w:rPr>
        <w:t>2012</w:t>
      </w:r>
      <w:r w:rsidRPr="00257EA7">
        <w:rPr>
          <w:rFonts w:ascii="Times New Roman" w:hAnsi="Times New Roman" w:cs="Times New Roman"/>
        </w:rPr>
        <w:t>. “The Marketization of Primary and Secondary School Curricula and Textbooks Under AKP Rule.”</w:t>
      </w:r>
      <w:r w:rsidRPr="00257EA7">
        <w:rPr>
          <w:rFonts w:ascii="Times New Roman" w:hAnsi="Times New Roman" w:cs="Times New Roman"/>
          <w:i/>
          <w:iCs/>
        </w:rPr>
        <w:t xml:space="preserve"> Neoliberal Transformation of Education ¡n Turkey Political and ldeological Analysis of Educational Reforms in the Age of AKP</w:t>
      </w:r>
      <w:r w:rsidRPr="00257EA7">
        <w:rPr>
          <w:rFonts w:ascii="Times New Roman" w:hAnsi="Times New Roman" w:cs="Times New Roman"/>
        </w:rPr>
        <w:t>.MacMillan.</w:t>
      </w:r>
    </w:p>
    <w:p w14:paraId="10F9FF96" w14:textId="77777777" w:rsidR="00550AED" w:rsidRPr="00257EA7" w:rsidRDefault="00550AED" w:rsidP="00501F33">
      <w:pPr>
        <w:autoSpaceDE w:val="0"/>
        <w:autoSpaceDN w:val="0"/>
        <w:adjustRightInd w:val="0"/>
        <w:spacing w:after="0" w:line="360" w:lineRule="auto"/>
        <w:jc w:val="both"/>
        <w:rPr>
          <w:rFonts w:ascii="Times New Roman" w:hAnsi="Times New Roman" w:cs="Times New Roman"/>
        </w:rPr>
      </w:pPr>
    </w:p>
    <w:p w14:paraId="3441F208" w14:textId="05851E87" w:rsidR="00B53952" w:rsidRPr="00257EA7" w:rsidRDefault="00A33CB2" w:rsidP="00501F33">
      <w:pPr>
        <w:pStyle w:val="FootnoteText"/>
        <w:spacing w:line="360" w:lineRule="auto"/>
        <w:ind w:left="567" w:hanging="567"/>
        <w:jc w:val="both"/>
        <w:rPr>
          <w:rFonts w:ascii="Times New Roman" w:hAnsi="Times New Roman" w:cs="Times New Roman"/>
          <w:sz w:val="22"/>
          <w:szCs w:val="22"/>
        </w:rPr>
      </w:pPr>
      <w:r w:rsidRPr="00257EA7">
        <w:rPr>
          <w:rFonts w:ascii="Times New Roman" w:hAnsi="Times New Roman" w:cs="Times New Roman"/>
          <w:sz w:val="22"/>
          <w:szCs w:val="22"/>
        </w:rPr>
        <w:t>Okçabol, R. 2013</w:t>
      </w:r>
      <w:r w:rsidR="00B53952" w:rsidRPr="00257EA7">
        <w:rPr>
          <w:rFonts w:ascii="Times New Roman" w:hAnsi="Times New Roman" w:cs="Times New Roman"/>
          <w:sz w:val="22"/>
          <w:szCs w:val="22"/>
        </w:rPr>
        <w:t xml:space="preserve">. </w:t>
      </w:r>
      <w:r w:rsidR="00B53952" w:rsidRPr="00257EA7">
        <w:rPr>
          <w:rFonts w:ascii="Times New Roman" w:hAnsi="Times New Roman" w:cs="Times New Roman"/>
          <w:i/>
          <w:sz w:val="22"/>
          <w:szCs w:val="22"/>
        </w:rPr>
        <w:t>AKP Iktidarinda Egitim: Egitimin Piyasalasmasi ve Gericilesmesi</w:t>
      </w:r>
      <w:r w:rsidR="00965939" w:rsidRPr="00257EA7">
        <w:rPr>
          <w:rFonts w:ascii="Times New Roman" w:hAnsi="Times New Roman" w:cs="Times New Roman"/>
          <w:i/>
          <w:sz w:val="22"/>
          <w:szCs w:val="22"/>
        </w:rPr>
        <w:t xml:space="preserve"> </w:t>
      </w:r>
      <w:r w:rsidR="00206888" w:rsidRPr="00257EA7">
        <w:rPr>
          <w:rFonts w:ascii="Times New Roman" w:hAnsi="Times New Roman" w:cs="Times New Roman"/>
          <w:sz w:val="22"/>
          <w:szCs w:val="22"/>
        </w:rPr>
        <w:t>[</w:t>
      </w:r>
      <w:r w:rsidR="002F1975" w:rsidRPr="00257EA7">
        <w:rPr>
          <w:rFonts w:ascii="Times New Roman" w:hAnsi="Times New Roman" w:cs="Times New Roman"/>
          <w:sz w:val="22"/>
          <w:szCs w:val="22"/>
        </w:rPr>
        <w:t xml:space="preserve">Education in </w:t>
      </w:r>
      <w:r w:rsidR="00206888" w:rsidRPr="00257EA7">
        <w:rPr>
          <w:rFonts w:ascii="Times New Roman" w:hAnsi="Times New Roman" w:cs="Times New Roman"/>
          <w:sz w:val="22"/>
          <w:szCs w:val="22"/>
        </w:rPr>
        <w:t>AKP Government: Being Marketable and</w:t>
      </w:r>
      <w:r w:rsidR="002F1975" w:rsidRPr="00257EA7">
        <w:rPr>
          <w:rFonts w:ascii="Times New Roman" w:hAnsi="Times New Roman" w:cs="Times New Roman"/>
          <w:sz w:val="22"/>
          <w:szCs w:val="22"/>
        </w:rPr>
        <w:t xml:space="preserve"> Reaction of Education</w:t>
      </w:r>
      <w:r w:rsidR="00206888" w:rsidRPr="00257EA7">
        <w:rPr>
          <w:rFonts w:ascii="Times New Roman" w:hAnsi="Times New Roman" w:cs="Times New Roman"/>
          <w:sz w:val="22"/>
          <w:szCs w:val="22"/>
        </w:rPr>
        <w:t>]</w:t>
      </w:r>
      <w:r w:rsidR="00B53952" w:rsidRPr="00257EA7">
        <w:rPr>
          <w:rFonts w:ascii="Times New Roman" w:hAnsi="Times New Roman" w:cs="Times New Roman"/>
          <w:i/>
          <w:sz w:val="22"/>
          <w:szCs w:val="22"/>
        </w:rPr>
        <w:t xml:space="preserve">. </w:t>
      </w:r>
      <w:r w:rsidR="00B53952" w:rsidRPr="00257EA7">
        <w:rPr>
          <w:rFonts w:ascii="Times New Roman" w:hAnsi="Times New Roman" w:cs="Times New Roman"/>
          <w:sz w:val="22"/>
          <w:szCs w:val="22"/>
        </w:rPr>
        <w:t>Ütopya Yayinevi. Ankara.</w:t>
      </w:r>
    </w:p>
    <w:p w14:paraId="411D2ADF" w14:textId="77777777" w:rsidR="00501F33" w:rsidRDefault="00501F33" w:rsidP="00501F33">
      <w:pPr>
        <w:spacing w:line="360" w:lineRule="auto"/>
        <w:ind w:left="567" w:hanging="567"/>
        <w:jc w:val="both"/>
        <w:rPr>
          <w:rFonts w:ascii="Times New Roman" w:hAnsi="Times New Roman" w:cs="Times New Roman"/>
          <w:color w:val="222222"/>
          <w:shd w:val="clear" w:color="auto" w:fill="FFFFFF"/>
        </w:rPr>
      </w:pPr>
    </w:p>
    <w:p w14:paraId="4AE72A46" w14:textId="759F5A2F" w:rsidR="00B53952" w:rsidRPr="00257EA7" w:rsidRDefault="00A33CB2" w:rsidP="00501F33">
      <w:pPr>
        <w:spacing w:line="360" w:lineRule="auto"/>
        <w:ind w:left="567" w:hanging="567"/>
        <w:jc w:val="both"/>
        <w:rPr>
          <w:rFonts w:ascii="Times New Roman" w:hAnsi="Times New Roman" w:cs="Times New Roman"/>
          <w:color w:val="222222"/>
          <w:shd w:val="clear" w:color="auto" w:fill="FFFFFF"/>
        </w:rPr>
      </w:pPr>
      <w:r w:rsidRPr="00257EA7">
        <w:rPr>
          <w:rFonts w:ascii="Times New Roman" w:hAnsi="Times New Roman" w:cs="Times New Roman"/>
          <w:color w:val="222222"/>
          <w:shd w:val="clear" w:color="auto" w:fill="FFFFFF"/>
        </w:rPr>
        <w:t>Okkolin, M. A. 2017</w:t>
      </w:r>
      <w:r w:rsidR="00B53952" w:rsidRPr="00257EA7">
        <w:rPr>
          <w:rFonts w:ascii="Times New Roman" w:hAnsi="Times New Roman" w:cs="Times New Roman"/>
          <w:color w:val="222222"/>
          <w:shd w:val="clear" w:color="auto" w:fill="FFFFFF"/>
        </w:rPr>
        <w:t>. </w:t>
      </w:r>
      <w:r w:rsidR="00B53952" w:rsidRPr="00257EA7">
        <w:rPr>
          <w:rFonts w:ascii="Times New Roman" w:hAnsi="Times New Roman" w:cs="Times New Roman"/>
          <w:i/>
          <w:iCs/>
          <w:color w:val="222222"/>
          <w:shd w:val="clear" w:color="auto" w:fill="FFFFFF"/>
        </w:rPr>
        <w:t>Education, Gender and Development: A Capabilities Perspective</w:t>
      </w:r>
      <w:r w:rsidR="00B53952" w:rsidRPr="00257EA7">
        <w:rPr>
          <w:rFonts w:ascii="Times New Roman" w:hAnsi="Times New Roman" w:cs="Times New Roman"/>
          <w:color w:val="222222"/>
          <w:shd w:val="clear" w:color="auto" w:fill="FFFFFF"/>
        </w:rPr>
        <w:t>. Routledge.</w:t>
      </w:r>
      <w:r w:rsidR="00E7356D" w:rsidRPr="00257EA7">
        <w:rPr>
          <w:rFonts w:ascii="Times New Roman" w:hAnsi="Times New Roman" w:cs="Times New Roman"/>
          <w:color w:val="222222"/>
          <w:shd w:val="clear" w:color="auto" w:fill="FFFFFF"/>
        </w:rPr>
        <w:t xml:space="preserve"> </w:t>
      </w:r>
    </w:p>
    <w:p w14:paraId="32D335E2" w14:textId="60443E2B" w:rsidR="00E7356D" w:rsidRPr="00257EA7" w:rsidRDefault="00A33CB2"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Robeyns, I. 2003. “Sen’s Capability Approach and Gender I</w:t>
      </w:r>
      <w:r w:rsidR="00E7356D" w:rsidRPr="00257EA7">
        <w:rPr>
          <w:rFonts w:ascii="Times New Roman" w:hAnsi="Times New Roman" w:cs="Times New Roman"/>
        </w:rPr>
        <w:t xml:space="preserve">nequality: Selecting </w:t>
      </w:r>
      <w:r w:rsidRPr="00257EA7">
        <w:rPr>
          <w:rFonts w:ascii="Times New Roman" w:hAnsi="Times New Roman" w:cs="Times New Roman"/>
        </w:rPr>
        <w:t>Relevant C</w:t>
      </w:r>
      <w:r w:rsidR="00E7356D" w:rsidRPr="00257EA7">
        <w:rPr>
          <w:rFonts w:ascii="Times New Roman" w:hAnsi="Times New Roman" w:cs="Times New Roman"/>
        </w:rPr>
        <w:t>apabilities</w:t>
      </w:r>
      <w:r w:rsidR="00E7356D" w:rsidRPr="00257EA7">
        <w:rPr>
          <w:rFonts w:ascii="Times New Roman" w:hAnsi="Times New Roman" w:cs="Times New Roman"/>
          <w:i/>
        </w:rPr>
        <w:t>.</w:t>
      </w:r>
      <w:r w:rsidRPr="00257EA7">
        <w:rPr>
          <w:rFonts w:ascii="Times New Roman" w:hAnsi="Times New Roman" w:cs="Times New Roman"/>
          <w:i/>
        </w:rPr>
        <w:t>”</w:t>
      </w:r>
      <w:r w:rsidR="00E7356D" w:rsidRPr="00257EA7">
        <w:rPr>
          <w:rFonts w:ascii="Times New Roman" w:hAnsi="Times New Roman" w:cs="Times New Roman"/>
          <w:i/>
        </w:rPr>
        <w:t xml:space="preserve"> Feminist Economics, 9</w:t>
      </w:r>
      <w:r w:rsidR="002F1975" w:rsidRPr="00257EA7">
        <w:rPr>
          <w:rFonts w:ascii="Times New Roman" w:hAnsi="Times New Roman" w:cs="Times New Roman"/>
        </w:rPr>
        <w:t>, 61–92.</w:t>
      </w:r>
    </w:p>
    <w:p w14:paraId="1702874E"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214D99CC" w14:textId="13296F60" w:rsidR="00B53952" w:rsidRPr="00257EA7" w:rsidRDefault="00A33CB2"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Robeyns, I. 2006. </w:t>
      </w:r>
      <w:r w:rsidR="00623482" w:rsidRPr="00257EA7">
        <w:rPr>
          <w:rFonts w:ascii="Times New Roman" w:hAnsi="Times New Roman" w:cs="Times New Roman"/>
        </w:rPr>
        <w:t>“</w:t>
      </w:r>
      <w:r w:rsidRPr="00257EA7">
        <w:rPr>
          <w:rFonts w:ascii="Times New Roman" w:hAnsi="Times New Roman" w:cs="Times New Roman"/>
        </w:rPr>
        <w:t>Three Models of Education: Rights, Capabilities and Human C</w:t>
      </w:r>
      <w:r w:rsidR="00B53952" w:rsidRPr="00257EA7">
        <w:rPr>
          <w:rFonts w:ascii="Times New Roman" w:hAnsi="Times New Roman" w:cs="Times New Roman"/>
        </w:rPr>
        <w:t>apital.</w:t>
      </w:r>
      <w:r w:rsidR="00623482" w:rsidRPr="00257EA7">
        <w:rPr>
          <w:rFonts w:ascii="Times New Roman" w:hAnsi="Times New Roman" w:cs="Times New Roman"/>
        </w:rPr>
        <w:t>”</w:t>
      </w:r>
      <w:r w:rsidR="00B53952" w:rsidRPr="00257EA7">
        <w:rPr>
          <w:rFonts w:ascii="Times New Roman" w:hAnsi="Times New Roman" w:cs="Times New Roman"/>
        </w:rPr>
        <w:t xml:space="preserve"> </w:t>
      </w:r>
      <w:r w:rsidR="00B53952" w:rsidRPr="00257EA7">
        <w:rPr>
          <w:rFonts w:ascii="Times New Roman" w:hAnsi="Times New Roman" w:cs="Times New Roman"/>
          <w:i/>
          <w:iCs/>
        </w:rPr>
        <w:t>Theory and Research in Education, 4</w:t>
      </w:r>
      <w:r w:rsidR="00B53952" w:rsidRPr="00257EA7">
        <w:rPr>
          <w:rFonts w:ascii="Times New Roman" w:hAnsi="Times New Roman" w:cs="Times New Roman"/>
        </w:rPr>
        <w:t>, 69–84.</w:t>
      </w:r>
    </w:p>
    <w:p w14:paraId="340C0F13"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42354B32" w14:textId="572FCE55" w:rsidR="00206888" w:rsidRPr="00257EA7" w:rsidRDefault="003F36B8"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Sen, A. 1993. </w:t>
      </w:r>
      <w:r w:rsidR="00206888" w:rsidRPr="00257EA7">
        <w:rPr>
          <w:rFonts w:ascii="Times New Roman" w:hAnsi="Times New Roman" w:cs="Times New Roman"/>
        </w:rPr>
        <w:t>“</w:t>
      </w:r>
      <w:r w:rsidRPr="00257EA7">
        <w:rPr>
          <w:rFonts w:ascii="Times New Roman" w:hAnsi="Times New Roman" w:cs="Times New Roman"/>
        </w:rPr>
        <w:t>Capability and W</w:t>
      </w:r>
      <w:r w:rsidR="00B53952" w:rsidRPr="00257EA7">
        <w:rPr>
          <w:rFonts w:ascii="Times New Roman" w:hAnsi="Times New Roman" w:cs="Times New Roman"/>
        </w:rPr>
        <w:t>ell</w:t>
      </w:r>
      <w:r w:rsidRPr="00257EA7">
        <w:rPr>
          <w:rFonts w:ascii="Times New Roman" w:hAnsi="Times New Roman" w:cs="Times New Roman"/>
        </w:rPr>
        <w:t>-</w:t>
      </w:r>
      <w:r w:rsidR="00B53952" w:rsidRPr="00257EA7">
        <w:rPr>
          <w:rFonts w:ascii="Times New Roman" w:hAnsi="Times New Roman" w:cs="Times New Roman"/>
        </w:rPr>
        <w:t>being.</w:t>
      </w:r>
      <w:r w:rsidR="00206888" w:rsidRPr="00257EA7">
        <w:rPr>
          <w:rFonts w:ascii="Times New Roman" w:hAnsi="Times New Roman" w:cs="Times New Roman"/>
        </w:rPr>
        <w:t>”</w:t>
      </w:r>
      <w:r w:rsidR="00B53952" w:rsidRPr="00257EA7">
        <w:rPr>
          <w:rFonts w:ascii="Times New Roman" w:hAnsi="Times New Roman" w:cs="Times New Roman"/>
        </w:rPr>
        <w:t xml:space="preserve"> In</w:t>
      </w:r>
      <w:r w:rsidR="00206888" w:rsidRPr="00257EA7">
        <w:rPr>
          <w:rFonts w:ascii="Times New Roman" w:hAnsi="Times New Roman" w:cs="Times New Roman"/>
        </w:rPr>
        <w:t xml:space="preserve"> </w:t>
      </w:r>
      <w:r w:rsidR="00206888" w:rsidRPr="00257EA7">
        <w:rPr>
          <w:rFonts w:ascii="Times New Roman" w:hAnsi="Times New Roman" w:cs="Times New Roman"/>
          <w:i/>
          <w:iCs/>
        </w:rPr>
        <w:t>The quality of life, edited by</w:t>
      </w:r>
      <w:r w:rsidR="0066109E" w:rsidRPr="00257EA7">
        <w:rPr>
          <w:rFonts w:ascii="Times New Roman" w:hAnsi="Times New Roman" w:cs="Times New Roman"/>
          <w:i/>
          <w:iCs/>
        </w:rPr>
        <w:t xml:space="preserve"> </w:t>
      </w:r>
      <w:r w:rsidR="00B53952" w:rsidRPr="00257EA7">
        <w:rPr>
          <w:rFonts w:ascii="Times New Roman" w:hAnsi="Times New Roman" w:cs="Times New Roman"/>
        </w:rPr>
        <w:t>Nussbaum</w:t>
      </w:r>
      <w:r w:rsidR="00206888" w:rsidRPr="00257EA7">
        <w:rPr>
          <w:rFonts w:ascii="Times New Roman" w:hAnsi="Times New Roman" w:cs="Times New Roman"/>
        </w:rPr>
        <w:t xml:space="preserve"> M. and </w:t>
      </w:r>
      <w:r w:rsidR="00B53952" w:rsidRPr="00257EA7">
        <w:rPr>
          <w:rFonts w:ascii="Times New Roman" w:hAnsi="Times New Roman" w:cs="Times New Roman"/>
        </w:rPr>
        <w:t xml:space="preserve">A. Sen (Eds.), </w:t>
      </w:r>
      <w:r w:rsidR="00206888" w:rsidRPr="00257EA7">
        <w:rPr>
          <w:rFonts w:ascii="Times New Roman" w:hAnsi="Times New Roman" w:cs="Times New Roman"/>
        </w:rPr>
        <w:t>30–53</w:t>
      </w:r>
      <w:r w:rsidR="00B53952" w:rsidRPr="00257EA7">
        <w:rPr>
          <w:rFonts w:ascii="Times New Roman" w:hAnsi="Times New Roman" w:cs="Times New Roman"/>
        </w:rPr>
        <w:t>. Oxford: Clarendon Press.</w:t>
      </w:r>
    </w:p>
    <w:p w14:paraId="38ABDB62" w14:textId="77777777" w:rsidR="00501F33" w:rsidRDefault="00501F33" w:rsidP="00501F33">
      <w:pPr>
        <w:spacing w:line="360" w:lineRule="auto"/>
        <w:jc w:val="both"/>
        <w:rPr>
          <w:rFonts w:ascii="Times New Roman" w:hAnsi="Times New Roman" w:cs="Times New Roman"/>
        </w:rPr>
      </w:pPr>
    </w:p>
    <w:p w14:paraId="42867ECF" w14:textId="51C42D85" w:rsidR="008A169C" w:rsidRPr="00257EA7" w:rsidRDefault="003F36B8" w:rsidP="00501F33">
      <w:pPr>
        <w:spacing w:line="360" w:lineRule="auto"/>
        <w:jc w:val="both"/>
        <w:rPr>
          <w:rFonts w:ascii="Times New Roman" w:hAnsi="Times New Roman" w:cs="Times New Roman"/>
        </w:rPr>
      </w:pPr>
      <w:r w:rsidRPr="00257EA7">
        <w:rPr>
          <w:rFonts w:ascii="Times New Roman" w:hAnsi="Times New Roman" w:cs="Times New Roman"/>
        </w:rPr>
        <w:lastRenderedPageBreak/>
        <w:t>Sen, A. 1999</w:t>
      </w:r>
      <w:r w:rsidR="00B53952" w:rsidRPr="00257EA7">
        <w:rPr>
          <w:rFonts w:ascii="Times New Roman" w:hAnsi="Times New Roman" w:cs="Times New Roman"/>
        </w:rPr>
        <w:t xml:space="preserve">. </w:t>
      </w:r>
      <w:r w:rsidRPr="00257EA7">
        <w:rPr>
          <w:rFonts w:ascii="Times New Roman" w:hAnsi="Times New Roman" w:cs="Times New Roman"/>
          <w:i/>
          <w:iCs/>
        </w:rPr>
        <w:t>Development as F</w:t>
      </w:r>
      <w:r w:rsidR="00B53952" w:rsidRPr="00257EA7">
        <w:rPr>
          <w:rFonts w:ascii="Times New Roman" w:hAnsi="Times New Roman" w:cs="Times New Roman"/>
          <w:i/>
          <w:iCs/>
        </w:rPr>
        <w:t>reedom</w:t>
      </w:r>
      <w:r w:rsidR="00B53952" w:rsidRPr="00257EA7">
        <w:rPr>
          <w:rFonts w:ascii="Times New Roman" w:hAnsi="Times New Roman" w:cs="Times New Roman"/>
        </w:rPr>
        <w:t>. Oxford: Oxford University Press.</w:t>
      </w:r>
    </w:p>
    <w:p w14:paraId="0392FB02" w14:textId="1DC2CE16" w:rsidR="008A169C" w:rsidRPr="00257EA7" w:rsidRDefault="008A169C" w:rsidP="00501F33">
      <w:pPr>
        <w:pStyle w:val="Bibliography"/>
        <w:spacing w:line="240" w:lineRule="auto"/>
        <w:jc w:val="both"/>
        <w:rPr>
          <w:rFonts w:ascii="Times New Roman" w:hAnsi="Times New Roman" w:cs="Times New Roman"/>
        </w:rPr>
      </w:pPr>
      <w:r w:rsidRPr="00257EA7">
        <w:rPr>
          <w:rFonts w:ascii="Times New Roman" w:hAnsi="Times New Roman" w:cs="Times New Roman"/>
        </w:rPr>
        <w:t xml:space="preserve">Türkiye Büyük Millet Meclisi Başkanlığı (TBMM). 2012. </w:t>
      </w:r>
      <w:r w:rsidRPr="00257EA7">
        <w:rPr>
          <w:rFonts w:ascii="Times New Roman" w:hAnsi="Times New Roman" w:cs="Times New Roman"/>
          <w:i/>
        </w:rPr>
        <w:t>i</w:t>
      </w:r>
      <w:r w:rsidRPr="00257EA7">
        <w:rPr>
          <w:rFonts w:ascii="Times New Roman" w:hAnsi="Times New Roman" w:cs="Times New Roman"/>
          <w:i/>
          <w:color w:val="222222"/>
          <w:shd w:val="clear" w:color="auto" w:fill="FFFFFF"/>
        </w:rPr>
        <w:t>lköğretim ve Eğitim Kanunu ile Bazı Kanunlarda Değişiklik Yapılmasına Dair Kanun Teklifi</w:t>
      </w:r>
      <w:r w:rsidRPr="00257EA7">
        <w:rPr>
          <w:rFonts w:ascii="Times New Roman" w:hAnsi="Times New Roman" w:cs="Times New Roman"/>
          <w:i/>
        </w:rPr>
        <w:t xml:space="preserve">. </w:t>
      </w:r>
      <w:r w:rsidRPr="00257EA7">
        <w:rPr>
          <w:rFonts w:ascii="Times New Roman" w:hAnsi="Times New Roman" w:cs="Times New Roman"/>
        </w:rPr>
        <w:t xml:space="preserve">Ankara: </w:t>
      </w:r>
      <w:r w:rsidR="00383B22" w:rsidRPr="00257EA7">
        <w:rPr>
          <w:rFonts w:ascii="Times New Roman" w:hAnsi="Times New Roman" w:cs="Times New Roman"/>
        </w:rPr>
        <w:t>TBMM.</w:t>
      </w:r>
    </w:p>
    <w:p w14:paraId="4DAB28E3" w14:textId="77777777" w:rsidR="00501F33" w:rsidRDefault="00501F33" w:rsidP="00501F33">
      <w:pPr>
        <w:autoSpaceDE w:val="0"/>
        <w:autoSpaceDN w:val="0"/>
        <w:adjustRightInd w:val="0"/>
        <w:spacing w:after="0" w:line="360" w:lineRule="auto"/>
        <w:jc w:val="both"/>
        <w:rPr>
          <w:rFonts w:ascii="Times New Roman" w:hAnsi="Times New Roman" w:cs="Times New Roman"/>
        </w:rPr>
      </w:pPr>
    </w:p>
    <w:p w14:paraId="2261D477" w14:textId="6260E650" w:rsidR="00501F33" w:rsidRDefault="003F36B8" w:rsidP="00501F33">
      <w:pPr>
        <w:autoSpaceDE w:val="0"/>
        <w:autoSpaceDN w:val="0"/>
        <w:adjustRightInd w:val="0"/>
        <w:spacing w:after="0" w:line="360" w:lineRule="auto"/>
        <w:jc w:val="both"/>
        <w:rPr>
          <w:rFonts w:ascii="Times New Roman" w:hAnsi="Times New Roman" w:cs="Times New Roman"/>
        </w:rPr>
      </w:pPr>
      <w:r w:rsidRPr="00257EA7">
        <w:rPr>
          <w:rFonts w:ascii="Times New Roman" w:hAnsi="Times New Roman" w:cs="Times New Roman"/>
        </w:rPr>
        <w:t>Tikly, L., and A. Barrett. 2011</w:t>
      </w:r>
      <w:r w:rsidR="00B53952" w:rsidRPr="00257EA7">
        <w:rPr>
          <w:rFonts w:ascii="Times New Roman" w:hAnsi="Times New Roman" w:cs="Times New Roman"/>
        </w:rPr>
        <w:t xml:space="preserve">. </w:t>
      </w:r>
      <w:r w:rsidR="00BF746E" w:rsidRPr="00257EA7">
        <w:rPr>
          <w:rFonts w:ascii="Times New Roman" w:hAnsi="Times New Roman" w:cs="Times New Roman"/>
        </w:rPr>
        <w:t>“</w:t>
      </w:r>
      <w:r w:rsidR="00B53952" w:rsidRPr="00257EA7">
        <w:rPr>
          <w:rFonts w:ascii="Times New Roman" w:hAnsi="Times New Roman" w:cs="Times New Roman"/>
        </w:rPr>
        <w:t>Social justice, capabilities and the quality of education in low income countries</w:t>
      </w:r>
      <w:r w:rsidR="008827F1" w:rsidRPr="00257EA7">
        <w:rPr>
          <w:rFonts w:ascii="Times New Roman" w:hAnsi="Times New Roman" w:cs="Times New Roman"/>
        </w:rPr>
        <w:t xml:space="preserve">.” </w:t>
      </w:r>
      <w:r w:rsidR="00B53952" w:rsidRPr="00257EA7">
        <w:rPr>
          <w:rFonts w:ascii="Times New Roman" w:hAnsi="Times New Roman" w:cs="Times New Roman"/>
          <w:i/>
          <w:iCs/>
        </w:rPr>
        <w:t>International Journal of Educational Development,</w:t>
      </w:r>
      <w:r w:rsidR="00B53952" w:rsidRPr="00257EA7">
        <w:rPr>
          <w:rFonts w:ascii="Times New Roman" w:hAnsi="Times New Roman" w:cs="Times New Roman"/>
        </w:rPr>
        <w:t xml:space="preserve"> </w:t>
      </w:r>
      <w:r w:rsidR="00B53952" w:rsidRPr="00257EA7">
        <w:rPr>
          <w:rFonts w:ascii="Times New Roman" w:hAnsi="Times New Roman" w:cs="Times New Roman"/>
          <w:i/>
          <w:iCs/>
        </w:rPr>
        <w:t>31</w:t>
      </w:r>
      <w:r w:rsidR="00B53952" w:rsidRPr="00257EA7">
        <w:rPr>
          <w:rFonts w:ascii="Times New Roman" w:hAnsi="Times New Roman" w:cs="Times New Roman"/>
        </w:rPr>
        <w:t>, 3–14.</w:t>
      </w:r>
    </w:p>
    <w:p w14:paraId="3A7067F9" w14:textId="77777777" w:rsidR="00501F33" w:rsidRDefault="00501F33" w:rsidP="00501F33">
      <w:pPr>
        <w:autoSpaceDE w:val="0"/>
        <w:autoSpaceDN w:val="0"/>
        <w:adjustRightInd w:val="0"/>
        <w:spacing w:after="0" w:line="360" w:lineRule="auto"/>
        <w:jc w:val="both"/>
        <w:rPr>
          <w:rFonts w:ascii="Times New Roman" w:hAnsi="Times New Roman" w:cs="Times New Roman"/>
        </w:rPr>
      </w:pPr>
    </w:p>
    <w:p w14:paraId="3A4C7644" w14:textId="1E2090D4" w:rsidR="00501F33" w:rsidRDefault="00B53952" w:rsidP="00501F33">
      <w:pPr>
        <w:spacing w:line="360" w:lineRule="auto"/>
        <w:ind w:left="567" w:hanging="567"/>
        <w:jc w:val="both"/>
        <w:rPr>
          <w:rFonts w:ascii="Times New Roman" w:hAnsi="Times New Roman" w:cs="Times New Roman"/>
        </w:rPr>
      </w:pPr>
      <w:r w:rsidRPr="00257EA7">
        <w:rPr>
          <w:rFonts w:ascii="Times New Roman" w:hAnsi="Times New Roman" w:cs="Times New Roman"/>
        </w:rPr>
        <w:t>UIS (UNESCO Institute for Statistics) 2015. Adult and youth literacy, fact sheet, September, no. 32. Montreal, Canada, UIS.</w:t>
      </w:r>
    </w:p>
    <w:p w14:paraId="51905712" w14:textId="23065D93" w:rsidR="002F1975" w:rsidRPr="00257EA7" w:rsidRDefault="00B53952" w:rsidP="00501F33">
      <w:pPr>
        <w:spacing w:line="360" w:lineRule="auto"/>
        <w:ind w:left="567" w:hanging="567"/>
        <w:jc w:val="both"/>
        <w:rPr>
          <w:rFonts w:ascii="Times New Roman" w:hAnsi="Times New Roman" w:cs="Times New Roman"/>
        </w:rPr>
      </w:pPr>
      <w:r w:rsidRPr="00257EA7">
        <w:rPr>
          <w:rFonts w:ascii="Times New Roman" w:hAnsi="Times New Roman" w:cs="Times New Roman"/>
        </w:rPr>
        <w:t xml:space="preserve">UNESCO 2015. </w:t>
      </w:r>
      <w:r w:rsidR="00206888" w:rsidRPr="00257EA7">
        <w:rPr>
          <w:rFonts w:ascii="Times New Roman" w:hAnsi="Times New Roman" w:cs="Times New Roman"/>
        </w:rPr>
        <w:t>“</w:t>
      </w:r>
      <w:r w:rsidRPr="00257EA7">
        <w:rPr>
          <w:rFonts w:ascii="Times New Roman" w:hAnsi="Times New Roman" w:cs="Times New Roman"/>
          <w:i/>
          <w:iCs/>
        </w:rPr>
        <w:t>Education 2030: Incheon Declaration and Framework for Action: Towards Inclusive and Equitable Quality Education and Lifelong Learning</w:t>
      </w:r>
      <w:r w:rsidR="00874325" w:rsidRPr="00257EA7">
        <w:rPr>
          <w:rFonts w:ascii="Times New Roman" w:hAnsi="Times New Roman" w:cs="Times New Roman"/>
          <w:i/>
          <w:iCs/>
        </w:rPr>
        <w:t xml:space="preserve"> </w:t>
      </w:r>
      <w:r w:rsidRPr="00257EA7">
        <w:rPr>
          <w:rFonts w:ascii="Times New Roman" w:hAnsi="Times New Roman" w:cs="Times New Roman"/>
          <w:i/>
          <w:iCs/>
        </w:rPr>
        <w:t>for All.</w:t>
      </w:r>
      <w:r w:rsidR="00206888" w:rsidRPr="00257EA7">
        <w:rPr>
          <w:rFonts w:ascii="Times New Roman" w:hAnsi="Times New Roman" w:cs="Times New Roman"/>
          <w:i/>
          <w:iCs/>
        </w:rPr>
        <w:t>”</w:t>
      </w:r>
      <w:r w:rsidRPr="00257EA7">
        <w:rPr>
          <w:rFonts w:ascii="Times New Roman" w:hAnsi="Times New Roman" w:cs="Times New Roman"/>
          <w:i/>
          <w:iCs/>
        </w:rPr>
        <w:t xml:space="preserve"> </w:t>
      </w:r>
      <w:r w:rsidR="002F1975" w:rsidRPr="00257EA7">
        <w:rPr>
          <w:rFonts w:ascii="Times New Roman" w:hAnsi="Times New Roman" w:cs="Times New Roman"/>
        </w:rPr>
        <w:t xml:space="preserve">Accessed 18 May 2016. </w:t>
      </w:r>
      <w:hyperlink r:id="rId12" w:history="1">
        <w:r w:rsidR="002F1975" w:rsidRPr="00257EA7">
          <w:rPr>
            <w:rStyle w:val="Hyperlink"/>
            <w:rFonts w:ascii="Times New Roman" w:hAnsi="Times New Roman" w:cs="Times New Roman"/>
          </w:rPr>
          <w:t>http://www.unesco.org/new/fileadmin/MULTIMEDIA/HQ/ED/ED_new/pdf/FFA-ENG-27Oct15.pdf%20</w:t>
        </w:r>
      </w:hyperlink>
    </w:p>
    <w:p w14:paraId="47D415BB" w14:textId="1C13FC94" w:rsidR="00B53952"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Unterhalter, E. </w:t>
      </w:r>
      <w:r w:rsidR="00E7356D" w:rsidRPr="00257EA7">
        <w:rPr>
          <w:rFonts w:ascii="Times New Roman" w:hAnsi="Times New Roman" w:cs="Times New Roman"/>
        </w:rPr>
        <w:t>2003</w:t>
      </w:r>
      <w:r w:rsidR="00B53952" w:rsidRPr="00257EA7">
        <w:rPr>
          <w:rFonts w:ascii="Times New Roman" w:hAnsi="Times New Roman" w:cs="Times New Roman"/>
        </w:rPr>
        <w:t xml:space="preserve">. </w:t>
      </w:r>
      <w:r w:rsidRPr="00257EA7">
        <w:rPr>
          <w:rFonts w:ascii="Times New Roman" w:hAnsi="Times New Roman" w:cs="Times New Roman"/>
        </w:rPr>
        <w:t>“The Capabilities Approach and Gendered Education: An Examination of South African C</w:t>
      </w:r>
      <w:r w:rsidR="00B53952" w:rsidRPr="00257EA7">
        <w:rPr>
          <w:rFonts w:ascii="Times New Roman" w:hAnsi="Times New Roman" w:cs="Times New Roman"/>
        </w:rPr>
        <w:t>omplexities.</w:t>
      </w:r>
      <w:r w:rsidRPr="00257EA7">
        <w:rPr>
          <w:rFonts w:ascii="Times New Roman" w:hAnsi="Times New Roman" w:cs="Times New Roman"/>
        </w:rPr>
        <w:t>”</w:t>
      </w:r>
      <w:r w:rsidR="00B53952" w:rsidRPr="00257EA7">
        <w:rPr>
          <w:rFonts w:ascii="Times New Roman" w:hAnsi="Times New Roman" w:cs="Times New Roman"/>
        </w:rPr>
        <w:t xml:space="preserve"> </w:t>
      </w:r>
      <w:r w:rsidR="00B53952" w:rsidRPr="00257EA7">
        <w:rPr>
          <w:rFonts w:ascii="Times New Roman" w:hAnsi="Times New Roman" w:cs="Times New Roman"/>
          <w:i/>
          <w:iCs/>
        </w:rPr>
        <w:t>Theory and Research in Education,</w:t>
      </w:r>
      <w:r w:rsidR="00B53952" w:rsidRPr="00257EA7">
        <w:rPr>
          <w:rFonts w:ascii="Times New Roman" w:hAnsi="Times New Roman" w:cs="Times New Roman"/>
        </w:rPr>
        <w:t xml:space="preserve"> </w:t>
      </w:r>
      <w:r w:rsidR="00B53952" w:rsidRPr="00257EA7">
        <w:rPr>
          <w:rFonts w:ascii="Times New Roman" w:hAnsi="Times New Roman" w:cs="Times New Roman"/>
          <w:i/>
          <w:iCs/>
        </w:rPr>
        <w:t>1</w:t>
      </w:r>
      <w:r w:rsidR="00B53952" w:rsidRPr="00257EA7">
        <w:rPr>
          <w:rFonts w:ascii="Times New Roman" w:hAnsi="Times New Roman" w:cs="Times New Roman"/>
        </w:rPr>
        <w:t>(1), 7–22.</w:t>
      </w:r>
    </w:p>
    <w:p w14:paraId="05519E4B"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2E5280C6" w14:textId="0CA0CCE1" w:rsidR="00B53952"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Unterhalter, E. 2005. </w:t>
      </w:r>
      <w:r w:rsidR="002F1975" w:rsidRPr="00257EA7">
        <w:rPr>
          <w:rFonts w:ascii="Times New Roman" w:hAnsi="Times New Roman" w:cs="Times New Roman"/>
        </w:rPr>
        <w:t>“</w:t>
      </w:r>
      <w:r w:rsidRPr="00257EA7">
        <w:rPr>
          <w:rFonts w:ascii="Times New Roman" w:hAnsi="Times New Roman" w:cs="Times New Roman"/>
        </w:rPr>
        <w:t>Fragmented Frameworks: Researching Women, Gender, Education and D</w:t>
      </w:r>
      <w:r w:rsidR="00B53952" w:rsidRPr="00257EA7">
        <w:rPr>
          <w:rFonts w:ascii="Times New Roman" w:hAnsi="Times New Roman" w:cs="Times New Roman"/>
        </w:rPr>
        <w:t>evelopment.</w:t>
      </w:r>
      <w:r w:rsidR="002F1975" w:rsidRPr="00257EA7">
        <w:rPr>
          <w:rFonts w:ascii="Times New Roman" w:hAnsi="Times New Roman" w:cs="Times New Roman"/>
        </w:rPr>
        <w:t>”</w:t>
      </w:r>
      <w:r w:rsidR="00B53952" w:rsidRPr="00257EA7">
        <w:rPr>
          <w:rFonts w:ascii="Times New Roman" w:hAnsi="Times New Roman" w:cs="Times New Roman"/>
        </w:rPr>
        <w:t xml:space="preserve"> In </w:t>
      </w:r>
      <w:r w:rsidR="00B53952" w:rsidRPr="00257EA7">
        <w:rPr>
          <w:rFonts w:ascii="Times New Roman" w:hAnsi="Times New Roman" w:cs="Times New Roman"/>
          <w:i/>
          <w:iCs/>
        </w:rPr>
        <w:t>Beyond</w:t>
      </w:r>
      <w:r w:rsidR="00B53952" w:rsidRPr="00257EA7">
        <w:rPr>
          <w:rFonts w:ascii="Times New Roman" w:hAnsi="Times New Roman" w:cs="Times New Roman"/>
          <w:i/>
        </w:rPr>
        <w:t xml:space="preserve"> </w:t>
      </w:r>
      <w:r w:rsidRPr="00257EA7">
        <w:rPr>
          <w:rFonts w:ascii="Times New Roman" w:hAnsi="Times New Roman" w:cs="Times New Roman"/>
          <w:i/>
          <w:iCs/>
        </w:rPr>
        <w:t>Access: Developing Gender Equality in E</w:t>
      </w:r>
      <w:r w:rsidR="00B53952" w:rsidRPr="00257EA7">
        <w:rPr>
          <w:rFonts w:ascii="Times New Roman" w:hAnsi="Times New Roman" w:cs="Times New Roman"/>
          <w:i/>
          <w:iCs/>
        </w:rPr>
        <w:t>ducation</w:t>
      </w:r>
      <w:r w:rsidR="002F1975" w:rsidRPr="00257EA7">
        <w:rPr>
          <w:rFonts w:ascii="Times New Roman" w:hAnsi="Times New Roman" w:cs="Times New Roman"/>
          <w:iCs/>
        </w:rPr>
        <w:t>, edited by</w:t>
      </w:r>
      <w:r w:rsidR="002F1975" w:rsidRPr="00257EA7">
        <w:rPr>
          <w:rFonts w:ascii="Times New Roman" w:hAnsi="Times New Roman" w:cs="Times New Roman"/>
          <w:i/>
          <w:iCs/>
        </w:rPr>
        <w:t xml:space="preserve"> </w:t>
      </w:r>
      <w:r w:rsidR="002F1975" w:rsidRPr="00257EA7">
        <w:rPr>
          <w:rFonts w:ascii="Times New Roman" w:hAnsi="Times New Roman" w:cs="Times New Roman"/>
        </w:rPr>
        <w:t>Aikman, S.and E. Unterhalter (Eds.),</w:t>
      </w:r>
      <w:r w:rsidR="0066109E" w:rsidRPr="00257EA7">
        <w:rPr>
          <w:rFonts w:ascii="Times New Roman" w:hAnsi="Times New Roman" w:cs="Times New Roman"/>
        </w:rPr>
        <w:t xml:space="preserve"> </w:t>
      </w:r>
      <w:r w:rsidR="002F1975" w:rsidRPr="00257EA7">
        <w:rPr>
          <w:rFonts w:ascii="Times New Roman" w:hAnsi="Times New Roman" w:cs="Times New Roman"/>
        </w:rPr>
        <w:t>15–35</w:t>
      </w:r>
      <w:r w:rsidR="00B53952" w:rsidRPr="00257EA7">
        <w:rPr>
          <w:rFonts w:ascii="Times New Roman" w:hAnsi="Times New Roman" w:cs="Times New Roman"/>
        </w:rPr>
        <w:t>. Oxford: Oxfam.</w:t>
      </w:r>
    </w:p>
    <w:p w14:paraId="4ED1846D" w14:textId="77777777" w:rsidR="00501F33" w:rsidRDefault="00501F33" w:rsidP="00501F33">
      <w:pPr>
        <w:autoSpaceDE w:val="0"/>
        <w:autoSpaceDN w:val="0"/>
        <w:adjustRightInd w:val="0"/>
        <w:spacing w:after="0" w:line="360" w:lineRule="auto"/>
        <w:jc w:val="both"/>
        <w:rPr>
          <w:rFonts w:ascii="Times New Roman" w:hAnsi="Times New Roman" w:cs="Times New Roman"/>
        </w:rPr>
      </w:pPr>
    </w:p>
    <w:p w14:paraId="2E22FD9A" w14:textId="54F60B22" w:rsidR="00B53952" w:rsidRPr="00257EA7" w:rsidRDefault="00874325" w:rsidP="00501F33">
      <w:pPr>
        <w:autoSpaceDE w:val="0"/>
        <w:autoSpaceDN w:val="0"/>
        <w:adjustRightInd w:val="0"/>
        <w:spacing w:after="0" w:line="360" w:lineRule="auto"/>
        <w:jc w:val="both"/>
        <w:rPr>
          <w:rFonts w:ascii="Times New Roman" w:hAnsi="Times New Roman" w:cs="Times New Roman"/>
        </w:rPr>
      </w:pPr>
      <w:r w:rsidRPr="00257EA7">
        <w:rPr>
          <w:rFonts w:ascii="Times New Roman" w:hAnsi="Times New Roman" w:cs="Times New Roman"/>
        </w:rPr>
        <w:t xml:space="preserve">Unterhalter, E. </w:t>
      </w:r>
      <w:r w:rsidR="00B53952" w:rsidRPr="00257EA7">
        <w:rPr>
          <w:rFonts w:ascii="Times New Roman" w:hAnsi="Times New Roman" w:cs="Times New Roman"/>
        </w:rPr>
        <w:t>2007</w:t>
      </w:r>
      <w:r w:rsidR="00E7356D" w:rsidRPr="00257EA7">
        <w:rPr>
          <w:rFonts w:ascii="Times New Roman" w:hAnsi="Times New Roman" w:cs="Times New Roman"/>
        </w:rPr>
        <w:t>a</w:t>
      </w:r>
      <w:r w:rsidR="00B53952" w:rsidRPr="00257EA7">
        <w:rPr>
          <w:rFonts w:ascii="Times New Roman" w:hAnsi="Times New Roman" w:cs="Times New Roman"/>
        </w:rPr>
        <w:t xml:space="preserve">. </w:t>
      </w:r>
      <w:r w:rsidRPr="00257EA7">
        <w:rPr>
          <w:rFonts w:ascii="Times New Roman" w:hAnsi="Times New Roman" w:cs="Times New Roman"/>
          <w:i/>
          <w:iCs/>
        </w:rPr>
        <w:t>Gender, Schooling and Global Social J</w:t>
      </w:r>
      <w:r w:rsidR="00B53952" w:rsidRPr="00257EA7">
        <w:rPr>
          <w:rFonts w:ascii="Times New Roman" w:hAnsi="Times New Roman" w:cs="Times New Roman"/>
          <w:i/>
          <w:iCs/>
        </w:rPr>
        <w:t>ustice</w:t>
      </w:r>
      <w:r w:rsidR="00B53952" w:rsidRPr="00257EA7">
        <w:rPr>
          <w:rFonts w:ascii="Times New Roman" w:hAnsi="Times New Roman" w:cs="Times New Roman"/>
        </w:rPr>
        <w:t>. Oxon: Routledge</w:t>
      </w:r>
    </w:p>
    <w:p w14:paraId="273246C4"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7A6B6E4D" w14:textId="75AC2B95" w:rsidR="00206888"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Unterhalter, E. 2007b. </w:t>
      </w:r>
      <w:r w:rsidR="002F1975" w:rsidRPr="00257EA7">
        <w:rPr>
          <w:rFonts w:ascii="Times New Roman" w:hAnsi="Times New Roman" w:cs="Times New Roman"/>
        </w:rPr>
        <w:t>“</w:t>
      </w:r>
      <w:r w:rsidRPr="00257EA7">
        <w:rPr>
          <w:rFonts w:ascii="Times New Roman" w:hAnsi="Times New Roman" w:cs="Times New Roman"/>
        </w:rPr>
        <w:t>Gender Equality, Education, and the Capability A</w:t>
      </w:r>
      <w:r w:rsidR="00B53952" w:rsidRPr="00257EA7">
        <w:rPr>
          <w:rFonts w:ascii="Times New Roman" w:hAnsi="Times New Roman" w:cs="Times New Roman"/>
        </w:rPr>
        <w:t>pproach.</w:t>
      </w:r>
      <w:r w:rsidR="002F1975" w:rsidRPr="00257EA7">
        <w:rPr>
          <w:rFonts w:ascii="Times New Roman" w:hAnsi="Times New Roman" w:cs="Times New Roman"/>
        </w:rPr>
        <w:t>”</w:t>
      </w:r>
      <w:r w:rsidR="00B53952" w:rsidRPr="00257EA7">
        <w:rPr>
          <w:rFonts w:ascii="Times New Roman" w:hAnsi="Times New Roman" w:cs="Times New Roman"/>
        </w:rPr>
        <w:t xml:space="preserve"> In </w:t>
      </w:r>
      <w:r w:rsidRPr="00257EA7">
        <w:rPr>
          <w:rFonts w:ascii="Times New Roman" w:hAnsi="Times New Roman" w:cs="Times New Roman"/>
          <w:i/>
          <w:iCs/>
        </w:rPr>
        <w:t>Amartya Sen’s Capability A</w:t>
      </w:r>
      <w:r w:rsidR="00B53952" w:rsidRPr="00257EA7">
        <w:rPr>
          <w:rFonts w:ascii="Times New Roman" w:hAnsi="Times New Roman" w:cs="Times New Roman"/>
          <w:i/>
          <w:iCs/>
        </w:rPr>
        <w:t>pproach and</w:t>
      </w:r>
      <w:r w:rsidR="00B53952" w:rsidRPr="00257EA7">
        <w:rPr>
          <w:rFonts w:ascii="Times New Roman" w:hAnsi="Times New Roman" w:cs="Times New Roman"/>
        </w:rPr>
        <w:t xml:space="preserve"> </w:t>
      </w:r>
      <w:r w:rsidRPr="00257EA7">
        <w:rPr>
          <w:rFonts w:ascii="Times New Roman" w:hAnsi="Times New Roman" w:cs="Times New Roman"/>
          <w:i/>
          <w:iCs/>
        </w:rPr>
        <w:t>S</w:t>
      </w:r>
      <w:r w:rsidR="00B53952" w:rsidRPr="00257EA7">
        <w:rPr>
          <w:rFonts w:ascii="Times New Roman" w:hAnsi="Times New Roman" w:cs="Times New Roman"/>
          <w:i/>
          <w:iCs/>
        </w:rPr>
        <w:t xml:space="preserve">ocial </w:t>
      </w:r>
      <w:r w:rsidRPr="00257EA7">
        <w:rPr>
          <w:rFonts w:ascii="Times New Roman" w:hAnsi="Times New Roman" w:cs="Times New Roman"/>
          <w:i/>
          <w:iCs/>
        </w:rPr>
        <w:t>Justice in E</w:t>
      </w:r>
      <w:r w:rsidR="00B53952" w:rsidRPr="00257EA7">
        <w:rPr>
          <w:rFonts w:ascii="Times New Roman" w:hAnsi="Times New Roman" w:cs="Times New Roman"/>
          <w:i/>
          <w:iCs/>
        </w:rPr>
        <w:t>ducation</w:t>
      </w:r>
      <w:r w:rsidR="00F13A21" w:rsidRPr="00257EA7">
        <w:rPr>
          <w:rFonts w:ascii="Times New Roman" w:hAnsi="Times New Roman" w:cs="Times New Roman"/>
          <w:i/>
          <w:iCs/>
        </w:rPr>
        <w:t>,</w:t>
      </w:r>
      <w:r w:rsidR="0066109E" w:rsidRPr="00257EA7">
        <w:rPr>
          <w:rFonts w:ascii="Times New Roman" w:hAnsi="Times New Roman" w:cs="Times New Roman"/>
          <w:i/>
          <w:iCs/>
        </w:rPr>
        <w:t xml:space="preserve"> </w:t>
      </w:r>
      <w:r w:rsidR="002F1975" w:rsidRPr="00257EA7">
        <w:rPr>
          <w:rFonts w:ascii="Times New Roman" w:hAnsi="Times New Roman" w:cs="Times New Roman"/>
        </w:rPr>
        <w:t>edited by</w:t>
      </w:r>
      <w:r w:rsidR="0066109E" w:rsidRPr="00257EA7">
        <w:rPr>
          <w:rFonts w:ascii="Times New Roman" w:hAnsi="Times New Roman" w:cs="Times New Roman"/>
        </w:rPr>
        <w:t xml:space="preserve"> </w:t>
      </w:r>
      <w:r w:rsidR="002F1975" w:rsidRPr="00257EA7">
        <w:rPr>
          <w:rFonts w:ascii="Times New Roman" w:hAnsi="Times New Roman" w:cs="Times New Roman"/>
        </w:rPr>
        <w:t>Walker M. and E. Unterhalter (Eds.), 87–107</w:t>
      </w:r>
      <w:r w:rsidR="00B53952" w:rsidRPr="00257EA7">
        <w:rPr>
          <w:rFonts w:ascii="Times New Roman" w:hAnsi="Times New Roman" w:cs="Times New Roman"/>
        </w:rPr>
        <w:t>. New York: Palgrave Macmillan.</w:t>
      </w:r>
    </w:p>
    <w:p w14:paraId="1D966F78" w14:textId="13457892" w:rsidR="00B53952"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 xml:space="preserve">Unterhalter, E. 2009. </w:t>
      </w:r>
      <w:r w:rsidR="002F1975" w:rsidRPr="00257EA7">
        <w:rPr>
          <w:rFonts w:ascii="Times New Roman" w:hAnsi="Times New Roman" w:cs="Times New Roman"/>
        </w:rPr>
        <w:t>“</w:t>
      </w:r>
      <w:r w:rsidRPr="00257EA7">
        <w:rPr>
          <w:rFonts w:ascii="Times New Roman" w:hAnsi="Times New Roman" w:cs="Times New Roman"/>
        </w:rPr>
        <w:t>Social Justice, Development Theory and the Question of E</w:t>
      </w:r>
      <w:r w:rsidR="00B53952" w:rsidRPr="00257EA7">
        <w:rPr>
          <w:rFonts w:ascii="Times New Roman" w:hAnsi="Times New Roman" w:cs="Times New Roman"/>
        </w:rPr>
        <w:t>ducation.</w:t>
      </w:r>
      <w:r w:rsidR="002F1975" w:rsidRPr="00257EA7">
        <w:rPr>
          <w:rFonts w:ascii="Times New Roman" w:hAnsi="Times New Roman" w:cs="Times New Roman"/>
        </w:rPr>
        <w:t>”</w:t>
      </w:r>
      <w:r w:rsidR="00B53952" w:rsidRPr="00257EA7">
        <w:rPr>
          <w:rFonts w:ascii="Times New Roman" w:hAnsi="Times New Roman" w:cs="Times New Roman"/>
        </w:rPr>
        <w:t xml:space="preserve"> In </w:t>
      </w:r>
      <w:r w:rsidR="002F1975" w:rsidRPr="00257EA7">
        <w:rPr>
          <w:rFonts w:ascii="Times New Roman" w:hAnsi="Times New Roman" w:cs="Times New Roman"/>
          <w:i/>
          <w:iCs/>
        </w:rPr>
        <w:t>International Handbook of</w:t>
      </w:r>
      <w:r w:rsidR="002F1975" w:rsidRPr="00257EA7">
        <w:rPr>
          <w:rFonts w:ascii="Times New Roman" w:hAnsi="Times New Roman" w:cs="Times New Roman"/>
          <w:i/>
        </w:rPr>
        <w:t xml:space="preserve"> </w:t>
      </w:r>
      <w:r w:rsidR="002F1975" w:rsidRPr="00257EA7">
        <w:rPr>
          <w:rFonts w:ascii="Times New Roman" w:hAnsi="Times New Roman" w:cs="Times New Roman"/>
          <w:i/>
          <w:iCs/>
        </w:rPr>
        <w:t>Comparative Education</w:t>
      </w:r>
      <w:r w:rsidR="00F13A21" w:rsidRPr="00257EA7">
        <w:rPr>
          <w:rFonts w:ascii="Times New Roman" w:hAnsi="Times New Roman" w:cs="Times New Roman"/>
        </w:rPr>
        <w:t>,</w:t>
      </w:r>
      <w:r w:rsidR="002F1975" w:rsidRPr="00257EA7">
        <w:rPr>
          <w:rFonts w:ascii="Times New Roman" w:hAnsi="Times New Roman" w:cs="Times New Roman"/>
        </w:rPr>
        <w:t xml:space="preserve"> edited by </w:t>
      </w:r>
      <w:r w:rsidR="00B53952" w:rsidRPr="00257EA7">
        <w:rPr>
          <w:rFonts w:ascii="Times New Roman" w:hAnsi="Times New Roman" w:cs="Times New Roman"/>
        </w:rPr>
        <w:t>Cowen</w:t>
      </w:r>
      <w:r w:rsidR="002F1975" w:rsidRPr="00257EA7">
        <w:rPr>
          <w:rFonts w:ascii="Times New Roman" w:hAnsi="Times New Roman" w:cs="Times New Roman"/>
        </w:rPr>
        <w:t xml:space="preserve"> R.and</w:t>
      </w:r>
      <w:r w:rsidR="00B53952" w:rsidRPr="00257EA7">
        <w:rPr>
          <w:rFonts w:ascii="Times New Roman" w:hAnsi="Times New Roman" w:cs="Times New Roman"/>
        </w:rPr>
        <w:t xml:space="preserve"> A. M. Kazamias (Eds.), </w:t>
      </w:r>
      <w:r w:rsidR="002F1975" w:rsidRPr="00257EA7">
        <w:rPr>
          <w:rFonts w:ascii="Times New Roman" w:hAnsi="Times New Roman" w:cs="Times New Roman"/>
        </w:rPr>
        <w:t>781–800</w:t>
      </w:r>
      <w:r w:rsidR="00B53952" w:rsidRPr="00257EA7">
        <w:rPr>
          <w:rFonts w:ascii="Times New Roman" w:hAnsi="Times New Roman" w:cs="Times New Roman"/>
        </w:rPr>
        <w:t>. London: Springer.</w:t>
      </w:r>
    </w:p>
    <w:p w14:paraId="56D21E6A"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2F3F1A59" w14:textId="68A0C860" w:rsidR="00B53952"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Vaughan, R. 2010. Girls’ and Women’s E</w:t>
      </w:r>
      <w:r w:rsidR="00B53952" w:rsidRPr="00257EA7">
        <w:rPr>
          <w:rFonts w:ascii="Times New Roman" w:hAnsi="Times New Roman" w:cs="Times New Roman"/>
        </w:rPr>
        <w:t xml:space="preserve">ducation within UNESCO and the World Bank, 1945–2000. </w:t>
      </w:r>
      <w:r w:rsidR="00B53952" w:rsidRPr="00257EA7">
        <w:rPr>
          <w:rFonts w:ascii="Times New Roman" w:hAnsi="Times New Roman" w:cs="Times New Roman"/>
          <w:i/>
          <w:iCs/>
        </w:rPr>
        <w:t>Compare: A Journal of Comparative and International</w:t>
      </w:r>
      <w:r w:rsidR="00B53952" w:rsidRPr="00257EA7">
        <w:rPr>
          <w:rFonts w:ascii="Times New Roman" w:hAnsi="Times New Roman" w:cs="Times New Roman"/>
        </w:rPr>
        <w:t xml:space="preserve"> </w:t>
      </w:r>
      <w:r w:rsidR="00B53952" w:rsidRPr="00257EA7">
        <w:rPr>
          <w:rFonts w:ascii="Times New Roman" w:hAnsi="Times New Roman" w:cs="Times New Roman"/>
          <w:i/>
          <w:iCs/>
        </w:rPr>
        <w:t>Education, 40</w:t>
      </w:r>
      <w:r w:rsidR="00B53952" w:rsidRPr="00257EA7">
        <w:rPr>
          <w:rFonts w:ascii="Times New Roman" w:hAnsi="Times New Roman" w:cs="Times New Roman"/>
        </w:rPr>
        <w:t>(4), 405–423.</w:t>
      </w:r>
    </w:p>
    <w:p w14:paraId="55E5BA06"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22E29450" w14:textId="6910E3E5" w:rsidR="00B53952" w:rsidRPr="00257EA7" w:rsidRDefault="00874325" w:rsidP="00501F33">
      <w:pPr>
        <w:autoSpaceDE w:val="0"/>
        <w:autoSpaceDN w:val="0"/>
        <w:adjustRightInd w:val="0"/>
        <w:spacing w:after="0" w:line="360" w:lineRule="auto"/>
        <w:ind w:left="567" w:hanging="567"/>
        <w:jc w:val="both"/>
        <w:rPr>
          <w:rFonts w:ascii="Times New Roman" w:hAnsi="Times New Roman" w:cs="Times New Roman"/>
        </w:rPr>
      </w:pPr>
      <w:r w:rsidRPr="00257EA7">
        <w:rPr>
          <w:rFonts w:ascii="Times New Roman" w:hAnsi="Times New Roman" w:cs="Times New Roman"/>
        </w:rPr>
        <w:t>Walker, M. 2007. Selecting Capabilities for Gender Equality in E</w:t>
      </w:r>
      <w:r w:rsidR="00B53952" w:rsidRPr="00257EA7">
        <w:rPr>
          <w:rFonts w:ascii="Times New Roman" w:hAnsi="Times New Roman" w:cs="Times New Roman"/>
        </w:rPr>
        <w:t xml:space="preserve">ducation. In </w:t>
      </w:r>
      <w:r w:rsidRPr="00257EA7">
        <w:rPr>
          <w:rFonts w:ascii="Times New Roman" w:hAnsi="Times New Roman" w:cs="Times New Roman"/>
          <w:i/>
          <w:iCs/>
        </w:rPr>
        <w:t>Amartya Sen’s Capability A</w:t>
      </w:r>
      <w:r w:rsidR="00B53952" w:rsidRPr="00257EA7">
        <w:rPr>
          <w:rFonts w:ascii="Times New Roman" w:hAnsi="Times New Roman" w:cs="Times New Roman"/>
          <w:i/>
          <w:iCs/>
        </w:rPr>
        <w:t>pproach and</w:t>
      </w:r>
      <w:r w:rsidR="00B53952" w:rsidRPr="00257EA7">
        <w:rPr>
          <w:rFonts w:ascii="Times New Roman" w:hAnsi="Times New Roman" w:cs="Times New Roman"/>
          <w:i/>
        </w:rPr>
        <w:t xml:space="preserve"> </w:t>
      </w:r>
      <w:r w:rsidRPr="00257EA7">
        <w:rPr>
          <w:rFonts w:ascii="Times New Roman" w:hAnsi="Times New Roman" w:cs="Times New Roman"/>
          <w:i/>
          <w:iCs/>
        </w:rPr>
        <w:t>Social Justice in E</w:t>
      </w:r>
      <w:r w:rsidR="00B53952" w:rsidRPr="00257EA7">
        <w:rPr>
          <w:rFonts w:ascii="Times New Roman" w:hAnsi="Times New Roman" w:cs="Times New Roman"/>
          <w:i/>
          <w:iCs/>
        </w:rPr>
        <w:t>ducation</w:t>
      </w:r>
      <w:r w:rsidR="00F13A21" w:rsidRPr="00257EA7">
        <w:rPr>
          <w:rFonts w:ascii="Times New Roman" w:hAnsi="Times New Roman" w:cs="Times New Roman"/>
          <w:i/>
          <w:iCs/>
        </w:rPr>
        <w:t>,</w:t>
      </w:r>
      <w:r w:rsidR="002F1975" w:rsidRPr="00257EA7">
        <w:rPr>
          <w:rFonts w:ascii="Times New Roman" w:hAnsi="Times New Roman" w:cs="Times New Roman"/>
          <w:iCs/>
        </w:rPr>
        <w:t xml:space="preserve"> </w:t>
      </w:r>
      <w:r w:rsidR="002F1975" w:rsidRPr="00257EA7">
        <w:rPr>
          <w:rFonts w:ascii="Times New Roman" w:hAnsi="Times New Roman" w:cs="Times New Roman"/>
        </w:rPr>
        <w:t>edited by</w:t>
      </w:r>
      <w:r w:rsidR="0066109E" w:rsidRPr="00257EA7">
        <w:rPr>
          <w:rFonts w:ascii="Times New Roman" w:hAnsi="Times New Roman" w:cs="Times New Roman"/>
        </w:rPr>
        <w:t xml:space="preserve"> </w:t>
      </w:r>
      <w:r w:rsidR="002F1975" w:rsidRPr="00257EA7">
        <w:rPr>
          <w:rFonts w:ascii="Times New Roman" w:hAnsi="Times New Roman" w:cs="Times New Roman"/>
        </w:rPr>
        <w:t>Walker M. and E. Unterhalter (Eds.), 177–196</w:t>
      </w:r>
      <w:r w:rsidR="00B53952" w:rsidRPr="00257EA7">
        <w:rPr>
          <w:rFonts w:ascii="Times New Roman" w:hAnsi="Times New Roman" w:cs="Times New Roman"/>
        </w:rPr>
        <w:t>. New York: Palgrave Macmillan.</w:t>
      </w:r>
    </w:p>
    <w:p w14:paraId="691E5922" w14:textId="77777777" w:rsidR="00501F33" w:rsidRDefault="00501F33" w:rsidP="00501F33">
      <w:pPr>
        <w:autoSpaceDE w:val="0"/>
        <w:autoSpaceDN w:val="0"/>
        <w:adjustRightInd w:val="0"/>
        <w:spacing w:after="0" w:line="360" w:lineRule="auto"/>
        <w:ind w:left="567" w:hanging="567"/>
        <w:jc w:val="both"/>
        <w:rPr>
          <w:rFonts w:ascii="Times New Roman" w:hAnsi="Times New Roman" w:cs="Times New Roman"/>
        </w:rPr>
      </w:pPr>
    </w:p>
    <w:p w14:paraId="5CBCAC56" w14:textId="5568DB76" w:rsidR="00192C92" w:rsidRPr="00257EA7" w:rsidRDefault="00874325" w:rsidP="00501F33">
      <w:pPr>
        <w:autoSpaceDE w:val="0"/>
        <w:autoSpaceDN w:val="0"/>
        <w:adjustRightInd w:val="0"/>
        <w:spacing w:after="0" w:line="360" w:lineRule="auto"/>
        <w:ind w:left="567" w:hanging="567"/>
        <w:jc w:val="both"/>
        <w:rPr>
          <w:rFonts w:ascii="Times New Roman" w:hAnsi="Times New Roman" w:cs="Times New Roman"/>
          <w:i/>
          <w:iCs/>
        </w:rPr>
      </w:pPr>
      <w:r w:rsidRPr="00257EA7">
        <w:rPr>
          <w:rFonts w:ascii="Times New Roman" w:hAnsi="Times New Roman" w:cs="Times New Roman"/>
        </w:rPr>
        <w:lastRenderedPageBreak/>
        <w:t>Walker, M., and E. Unterhalter. 2007</w:t>
      </w:r>
      <w:r w:rsidR="00B53952" w:rsidRPr="00257EA7">
        <w:rPr>
          <w:rFonts w:ascii="Times New Roman" w:hAnsi="Times New Roman" w:cs="Times New Roman"/>
        </w:rPr>
        <w:t xml:space="preserve">. </w:t>
      </w:r>
      <w:r w:rsidRPr="00257EA7">
        <w:rPr>
          <w:rFonts w:ascii="Times New Roman" w:hAnsi="Times New Roman" w:cs="Times New Roman"/>
          <w:i/>
          <w:iCs/>
        </w:rPr>
        <w:t>Amartya Sen’s Capability Approach and Social Justice in E</w:t>
      </w:r>
      <w:r w:rsidR="00B53952" w:rsidRPr="00257EA7">
        <w:rPr>
          <w:rFonts w:ascii="Times New Roman" w:hAnsi="Times New Roman" w:cs="Times New Roman"/>
          <w:i/>
          <w:iCs/>
        </w:rPr>
        <w:t>ducation</w:t>
      </w:r>
      <w:r w:rsidR="00B53952" w:rsidRPr="00257EA7">
        <w:rPr>
          <w:rFonts w:ascii="Times New Roman" w:hAnsi="Times New Roman" w:cs="Times New Roman"/>
        </w:rPr>
        <w:t>. New York: Palgrave Macmillan.</w:t>
      </w:r>
    </w:p>
    <w:sectPr w:rsidR="00192C92" w:rsidRPr="00257EA7" w:rsidSect="00E878A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6AE5" w14:textId="77777777" w:rsidR="0041530E" w:rsidRDefault="0041530E" w:rsidP="00287C20">
      <w:pPr>
        <w:spacing w:after="0" w:line="240" w:lineRule="auto"/>
      </w:pPr>
      <w:r>
        <w:separator/>
      </w:r>
    </w:p>
  </w:endnote>
  <w:endnote w:type="continuationSeparator" w:id="0">
    <w:p w14:paraId="38B34009" w14:textId="77777777" w:rsidR="0041530E" w:rsidRDefault="0041530E" w:rsidP="0028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458990"/>
      <w:docPartObj>
        <w:docPartGallery w:val="Page Numbers (Bottom of Page)"/>
        <w:docPartUnique/>
      </w:docPartObj>
    </w:sdtPr>
    <w:sdtEndPr/>
    <w:sdtContent>
      <w:p w14:paraId="36B1B3D8" w14:textId="51A0077A" w:rsidR="002C3615" w:rsidRDefault="002C3615">
        <w:pPr>
          <w:pStyle w:val="Footer"/>
          <w:jc w:val="center"/>
        </w:pPr>
        <w:r>
          <w:fldChar w:fldCharType="begin"/>
        </w:r>
        <w:r>
          <w:instrText>PAGE   \* MERGEFORMAT</w:instrText>
        </w:r>
        <w:r>
          <w:fldChar w:fldCharType="separate"/>
        </w:r>
        <w:r w:rsidR="00612637" w:rsidRPr="00612637">
          <w:rPr>
            <w:noProof/>
            <w:lang w:val="tr-TR"/>
          </w:rPr>
          <w:t>1</w:t>
        </w:r>
        <w:r>
          <w:fldChar w:fldCharType="end"/>
        </w:r>
      </w:p>
    </w:sdtContent>
  </w:sdt>
  <w:p w14:paraId="77370F48" w14:textId="77777777" w:rsidR="002C3615" w:rsidRDefault="002C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94AE4" w14:textId="77777777" w:rsidR="0041530E" w:rsidRDefault="0041530E" w:rsidP="00287C20">
      <w:pPr>
        <w:spacing w:after="0" w:line="240" w:lineRule="auto"/>
      </w:pPr>
      <w:r>
        <w:separator/>
      </w:r>
    </w:p>
  </w:footnote>
  <w:footnote w:type="continuationSeparator" w:id="0">
    <w:p w14:paraId="22EFB32D" w14:textId="77777777" w:rsidR="0041530E" w:rsidRDefault="0041530E" w:rsidP="00287C20">
      <w:pPr>
        <w:spacing w:after="0" w:line="240" w:lineRule="auto"/>
      </w:pPr>
      <w:r>
        <w:continuationSeparator/>
      </w:r>
    </w:p>
  </w:footnote>
  <w:footnote w:id="1">
    <w:p w14:paraId="7DC9FBD7" w14:textId="4E8AA31A" w:rsidR="002C3615" w:rsidRPr="00E2655B" w:rsidRDefault="002C3615" w:rsidP="00E2655B">
      <w:pPr>
        <w:pStyle w:val="FootnoteText"/>
        <w:jc w:val="both"/>
        <w:rPr>
          <w:rFonts w:ascii="Times New Roman" w:hAnsi="Times New Roman" w:cs="Times New Roman"/>
          <w:lang w:val="en-US"/>
        </w:rPr>
      </w:pPr>
      <w:r>
        <w:rPr>
          <w:rStyle w:val="FootnoteReference"/>
        </w:rPr>
        <w:footnoteRef/>
      </w:r>
      <w:r>
        <w:t xml:space="preserve">  </w:t>
      </w:r>
      <w:r w:rsidRPr="00E2655B">
        <w:rPr>
          <w:rFonts w:ascii="Times New Roman" w:hAnsi="Times New Roman" w:cs="Times New Roman"/>
        </w:rPr>
        <w:t xml:space="preserve">AKP is also another acronym used for </w:t>
      </w:r>
      <w:r w:rsidR="00460D45">
        <w:rPr>
          <w:rFonts w:ascii="Times New Roman" w:hAnsi="Times New Roman" w:cs="Times New Roman"/>
        </w:rPr>
        <w:t xml:space="preserve">the </w:t>
      </w:r>
      <w:r w:rsidRPr="00E2655B">
        <w:rPr>
          <w:rFonts w:ascii="Times New Roman" w:hAnsi="Times New Roman" w:cs="Times New Roman"/>
        </w:rPr>
        <w:t xml:space="preserve">Justice and Development Party. AKP stands for </w:t>
      </w:r>
      <w:r w:rsidRPr="002C3615">
        <w:rPr>
          <w:rFonts w:ascii="Times New Roman" w:hAnsi="Times New Roman" w:cs="Times New Roman"/>
          <w:i/>
        </w:rPr>
        <w:t>Adalet ve Kalkinma Partisi</w:t>
      </w:r>
      <w:r w:rsidRPr="00E2655B">
        <w:rPr>
          <w:rFonts w:ascii="Times New Roman" w:hAnsi="Times New Roman" w:cs="Times New Roman"/>
        </w:rPr>
        <w:t xml:space="preserve"> in </w:t>
      </w:r>
      <w:r w:rsidR="00745BD5">
        <w:rPr>
          <w:rFonts w:ascii="Times New Roman" w:hAnsi="Times New Roman" w:cs="Times New Roman"/>
        </w:rPr>
        <w:t xml:space="preserve">the </w:t>
      </w:r>
      <w:r w:rsidRPr="00E2655B">
        <w:rPr>
          <w:rFonts w:ascii="Times New Roman" w:hAnsi="Times New Roman" w:cs="Times New Roman"/>
        </w:rPr>
        <w:t xml:space="preserve">Turkish language. </w:t>
      </w:r>
      <w:r w:rsidRPr="00E2655B">
        <w:rPr>
          <w:rFonts w:ascii="Times New Roman" w:hAnsi="Times New Roman" w:cs="Times New Roman"/>
          <w:lang w:val="en-US"/>
        </w:rPr>
        <w:t xml:space="preserve">The current </w:t>
      </w:r>
      <w:r>
        <w:rPr>
          <w:rFonts w:ascii="Times New Roman" w:hAnsi="Times New Roman" w:cs="Times New Roman"/>
          <w:lang w:val="en-US"/>
        </w:rPr>
        <w:t>JDP</w:t>
      </w:r>
      <w:r w:rsidRPr="00E2655B">
        <w:rPr>
          <w:rFonts w:ascii="Times New Roman" w:hAnsi="Times New Roman" w:cs="Times New Roman"/>
          <w:lang w:val="en-US"/>
        </w:rPr>
        <w:t xml:space="preserve"> governmen</w:t>
      </w:r>
      <w:r w:rsidR="004955E4">
        <w:rPr>
          <w:rFonts w:ascii="Times New Roman" w:hAnsi="Times New Roman" w:cs="Times New Roman"/>
          <w:lang w:val="en-US"/>
        </w:rPr>
        <w:t xml:space="preserve">t has been in power since 2002. </w:t>
      </w:r>
    </w:p>
  </w:footnote>
  <w:footnote w:id="2">
    <w:p w14:paraId="472E053F" w14:textId="2829A6D8" w:rsidR="002C3615" w:rsidRDefault="002C3615" w:rsidP="00E2655B">
      <w:pPr>
        <w:pStyle w:val="FootnoteText"/>
        <w:jc w:val="both"/>
      </w:pPr>
      <w:r w:rsidRPr="00E2655B">
        <w:rPr>
          <w:rStyle w:val="FootnoteReference"/>
          <w:rFonts w:ascii="Times New Roman" w:hAnsi="Times New Roman" w:cs="Times New Roman"/>
        </w:rPr>
        <w:footnoteRef/>
      </w:r>
      <w:r w:rsidRPr="00E2655B">
        <w:rPr>
          <w:rFonts w:ascii="Times New Roman" w:hAnsi="Times New Roman" w:cs="Times New Roman"/>
        </w:rPr>
        <w:t xml:space="preserve"> The female enrolment ratio for secondary education increased from 63.86% in 2011 to 94.36% in 2016; the reform was introduced in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1F"/>
    <w:multiLevelType w:val="hybridMultilevel"/>
    <w:tmpl w:val="154C8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E52C8"/>
    <w:multiLevelType w:val="hybridMultilevel"/>
    <w:tmpl w:val="4E94E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A45F14"/>
    <w:multiLevelType w:val="hybridMultilevel"/>
    <w:tmpl w:val="D1CC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03DCA"/>
    <w:multiLevelType w:val="hybridMultilevel"/>
    <w:tmpl w:val="AD08BD1A"/>
    <w:lvl w:ilvl="0" w:tplc="0409000F">
      <w:start w:val="1"/>
      <w:numFmt w:val="decimal"/>
      <w:lvlText w:val="%1."/>
      <w:lvlJc w:val="left"/>
      <w:pPr>
        <w:ind w:left="305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8A516A"/>
    <w:multiLevelType w:val="hybridMultilevel"/>
    <w:tmpl w:val="3C5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DC"/>
    <w:rsid w:val="000072B7"/>
    <w:rsid w:val="000204ED"/>
    <w:rsid w:val="00022EE2"/>
    <w:rsid w:val="00025231"/>
    <w:rsid w:val="00027BB4"/>
    <w:rsid w:val="00031EB9"/>
    <w:rsid w:val="00033F72"/>
    <w:rsid w:val="00035804"/>
    <w:rsid w:val="00036EFE"/>
    <w:rsid w:val="00041129"/>
    <w:rsid w:val="00041EE2"/>
    <w:rsid w:val="000424A8"/>
    <w:rsid w:val="000465DD"/>
    <w:rsid w:val="00053520"/>
    <w:rsid w:val="000538B5"/>
    <w:rsid w:val="000553B2"/>
    <w:rsid w:val="00056BB5"/>
    <w:rsid w:val="00065F62"/>
    <w:rsid w:val="0006670E"/>
    <w:rsid w:val="00067D96"/>
    <w:rsid w:val="000704AD"/>
    <w:rsid w:val="00072513"/>
    <w:rsid w:val="0007419E"/>
    <w:rsid w:val="000743C7"/>
    <w:rsid w:val="00074406"/>
    <w:rsid w:val="0007458C"/>
    <w:rsid w:val="00074989"/>
    <w:rsid w:val="00075FF5"/>
    <w:rsid w:val="00080750"/>
    <w:rsid w:val="00081C68"/>
    <w:rsid w:val="000866E9"/>
    <w:rsid w:val="00086845"/>
    <w:rsid w:val="0009309E"/>
    <w:rsid w:val="00093763"/>
    <w:rsid w:val="00095823"/>
    <w:rsid w:val="00095BFE"/>
    <w:rsid w:val="00097A8E"/>
    <w:rsid w:val="000A0BA1"/>
    <w:rsid w:val="000A56EE"/>
    <w:rsid w:val="000B04FB"/>
    <w:rsid w:val="000B2DBF"/>
    <w:rsid w:val="000B3D59"/>
    <w:rsid w:val="000B594B"/>
    <w:rsid w:val="000B5D0B"/>
    <w:rsid w:val="000B7D9E"/>
    <w:rsid w:val="000C2101"/>
    <w:rsid w:val="000C2CE0"/>
    <w:rsid w:val="000C4851"/>
    <w:rsid w:val="000C70B9"/>
    <w:rsid w:val="000C7350"/>
    <w:rsid w:val="000C7B1D"/>
    <w:rsid w:val="000D10C6"/>
    <w:rsid w:val="000D1CC4"/>
    <w:rsid w:val="000D2A46"/>
    <w:rsid w:val="000D3C19"/>
    <w:rsid w:val="000D57BD"/>
    <w:rsid w:val="000D5DC8"/>
    <w:rsid w:val="000D5EA2"/>
    <w:rsid w:val="000D71A7"/>
    <w:rsid w:val="000E5C4D"/>
    <w:rsid w:val="000E6F5B"/>
    <w:rsid w:val="000F1A26"/>
    <w:rsid w:val="000F563A"/>
    <w:rsid w:val="001022AE"/>
    <w:rsid w:val="001033C7"/>
    <w:rsid w:val="00104DD8"/>
    <w:rsid w:val="00105DD8"/>
    <w:rsid w:val="001060F7"/>
    <w:rsid w:val="00111718"/>
    <w:rsid w:val="001119C4"/>
    <w:rsid w:val="001123F1"/>
    <w:rsid w:val="00112722"/>
    <w:rsid w:val="00112A7C"/>
    <w:rsid w:val="0011542D"/>
    <w:rsid w:val="00116E05"/>
    <w:rsid w:val="00116E94"/>
    <w:rsid w:val="001173FB"/>
    <w:rsid w:val="0012015E"/>
    <w:rsid w:val="00121DC8"/>
    <w:rsid w:val="00126FAC"/>
    <w:rsid w:val="001272A3"/>
    <w:rsid w:val="001275CC"/>
    <w:rsid w:val="00127847"/>
    <w:rsid w:val="001278F1"/>
    <w:rsid w:val="0013027F"/>
    <w:rsid w:val="00141FC8"/>
    <w:rsid w:val="00142BCF"/>
    <w:rsid w:val="00144560"/>
    <w:rsid w:val="0014576A"/>
    <w:rsid w:val="00146448"/>
    <w:rsid w:val="001502A3"/>
    <w:rsid w:val="00150EFB"/>
    <w:rsid w:val="00153F97"/>
    <w:rsid w:val="0015408F"/>
    <w:rsid w:val="00155852"/>
    <w:rsid w:val="00161229"/>
    <w:rsid w:val="00162D8A"/>
    <w:rsid w:val="00162FC9"/>
    <w:rsid w:val="00165166"/>
    <w:rsid w:val="00167858"/>
    <w:rsid w:val="00170DBF"/>
    <w:rsid w:val="00172500"/>
    <w:rsid w:val="00172FBA"/>
    <w:rsid w:val="001744B6"/>
    <w:rsid w:val="001749A3"/>
    <w:rsid w:val="001751F5"/>
    <w:rsid w:val="00176888"/>
    <w:rsid w:val="001815FF"/>
    <w:rsid w:val="00184750"/>
    <w:rsid w:val="0018491B"/>
    <w:rsid w:val="00191B36"/>
    <w:rsid w:val="00192C92"/>
    <w:rsid w:val="00194C53"/>
    <w:rsid w:val="001A3FC4"/>
    <w:rsid w:val="001A4B2D"/>
    <w:rsid w:val="001A4D56"/>
    <w:rsid w:val="001A530E"/>
    <w:rsid w:val="001B20E5"/>
    <w:rsid w:val="001B21C1"/>
    <w:rsid w:val="001B24AE"/>
    <w:rsid w:val="001B2BB3"/>
    <w:rsid w:val="001B2DDC"/>
    <w:rsid w:val="001B3D99"/>
    <w:rsid w:val="001B4AA4"/>
    <w:rsid w:val="001B6D07"/>
    <w:rsid w:val="001B70FD"/>
    <w:rsid w:val="001C13B5"/>
    <w:rsid w:val="001C3A42"/>
    <w:rsid w:val="001C45AF"/>
    <w:rsid w:val="001C4ADB"/>
    <w:rsid w:val="001C7A01"/>
    <w:rsid w:val="001D3481"/>
    <w:rsid w:val="001D5503"/>
    <w:rsid w:val="001D5577"/>
    <w:rsid w:val="001D619C"/>
    <w:rsid w:val="001D776C"/>
    <w:rsid w:val="001E30DE"/>
    <w:rsid w:val="001E56FF"/>
    <w:rsid w:val="001F20E5"/>
    <w:rsid w:val="001F2306"/>
    <w:rsid w:val="002005D3"/>
    <w:rsid w:val="00200BBD"/>
    <w:rsid w:val="002010B0"/>
    <w:rsid w:val="002065AA"/>
    <w:rsid w:val="00206888"/>
    <w:rsid w:val="00210CC4"/>
    <w:rsid w:val="002139FF"/>
    <w:rsid w:val="002148C9"/>
    <w:rsid w:val="00216227"/>
    <w:rsid w:val="00222FC0"/>
    <w:rsid w:val="002243F8"/>
    <w:rsid w:val="00224AE9"/>
    <w:rsid w:val="00225A8C"/>
    <w:rsid w:val="00227A12"/>
    <w:rsid w:val="00235B00"/>
    <w:rsid w:val="00236977"/>
    <w:rsid w:val="00237478"/>
    <w:rsid w:val="00240AB5"/>
    <w:rsid w:val="0024304C"/>
    <w:rsid w:val="002450F7"/>
    <w:rsid w:val="0024539F"/>
    <w:rsid w:val="00251CC6"/>
    <w:rsid w:val="00252C24"/>
    <w:rsid w:val="00252CF4"/>
    <w:rsid w:val="00254718"/>
    <w:rsid w:val="00257EA7"/>
    <w:rsid w:val="00262387"/>
    <w:rsid w:val="00262A3B"/>
    <w:rsid w:val="002657F0"/>
    <w:rsid w:val="00267089"/>
    <w:rsid w:val="00267143"/>
    <w:rsid w:val="0027375A"/>
    <w:rsid w:val="0028221F"/>
    <w:rsid w:val="002824F9"/>
    <w:rsid w:val="00284126"/>
    <w:rsid w:val="00287C20"/>
    <w:rsid w:val="00296D72"/>
    <w:rsid w:val="002A1573"/>
    <w:rsid w:val="002A21E3"/>
    <w:rsid w:val="002A2A35"/>
    <w:rsid w:val="002A2B24"/>
    <w:rsid w:val="002A74AC"/>
    <w:rsid w:val="002A75BA"/>
    <w:rsid w:val="002B05AC"/>
    <w:rsid w:val="002B1339"/>
    <w:rsid w:val="002B18D4"/>
    <w:rsid w:val="002B4D6C"/>
    <w:rsid w:val="002B6865"/>
    <w:rsid w:val="002C1CDB"/>
    <w:rsid w:val="002C2506"/>
    <w:rsid w:val="002C3615"/>
    <w:rsid w:val="002C7653"/>
    <w:rsid w:val="002D0319"/>
    <w:rsid w:val="002D5BE9"/>
    <w:rsid w:val="002D6F33"/>
    <w:rsid w:val="002D767E"/>
    <w:rsid w:val="002D7F76"/>
    <w:rsid w:val="002E14A8"/>
    <w:rsid w:val="002E2630"/>
    <w:rsid w:val="002E31C2"/>
    <w:rsid w:val="002E5165"/>
    <w:rsid w:val="002E5BFB"/>
    <w:rsid w:val="002E65C1"/>
    <w:rsid w:val="002F0665"/>
    <w:rsid w:val="002F1975"/>
    <w:rsid w:val="002F1C68"/>
    <w:rsid w:val="002F1D94"/>
    <w:rsid w:val="002F2647"/>
    <w:rsid w:val="002F2710"/>
    <w:rsid w:val="002F5B0C"/>
    <w:rsid w:val="002F7A02"/>
    <w:rsid w:val="00307F19"/>
    <w:rsid w:val="00310F16"/>
    <w:rsid w:val="00316A71"/>
    <w:rsid w:val="003170E2"/>
    <w:rsid w:val="00323467"/>
    <w:rsid w:val="00323489"/>
    <w:rsid w:val="00324C63"/>
    <w:rsid w:val="0032756C"/>
    <w:rsid w:val="00330BD8"/>
    <w:rsid w:val="0033593D"/>
    <w:rsid w:val="00335C6F"/>
    <w:rsid w:val="00335D8B"/>
    <w:rsid w:val="0033771D"/>
    <w:rsid w:val="00337CF1"/>
    <w:rsid w:val="003403EF"/>
    <w:rsid w:val="00341D06"/>
    <w:rsid w:val="00342F3F"/>
    <w:rsid w:val="003433FD"/>
    <w:rsid w:val="00344FC4"/>
    <w:rsid w:val="00350C49"/>
    <w:rsid w:val="0035522B"/>
    <w:rsid w:val="00355C0D"/>
    <w:rsid w:val="0036444C"/>
    <w:rsid w:val="00365BBA"/>
    <w:rsid w:val="00367544"/>
    <w:rsid w:val="00370AA3"/>
    <w:rsid w:val="003715C0"/>
    <w:rsid w:val="0037297D"/>
    <w:rsid w:val="00374AB7"/>
    <w:rsid w:val="0037514F"/>
    <w:rsid w:val="00380A8C"/>
    <w:rsid w:val="00381FD6"/>
    <w:rsid w:val="00383B22"/>
    <w:rsid w:val="0038533D"/>
    <w:rsid w:val="003912D7"/>
    <w:rsid w:val="0039393A"/>
    <w:rsid w:val="00393E77"/>
    <w:rsid w:val="003A15F3"/>
    <w:rsid w:val="003A55E2"/>
    <w:rsid w:val="003B28FF"/>
    <w:rsid w:val="003B2B72"/>
    <w:rsid w:val="003B6336"/>
    <w:rsid w:val="003C4B7A"/>
    <w:rsid w:val="003C51F6"/>
    <w:rsid w:val="003C7098"/>
    <w:rsid w:val="003C72C9"/>
    <w:rsid w:val="003D28BD"/>
    <w:rsid w:val="003D7977"/>
    <w:rsid w:val="003D7C8A"/>
    <w:rsid w:val="003E16FA"/>
    <w:rsid w:val="003E601B"/>
    <w:rsid w:val="003F36B8"/>
    <w:rsid w:val="003F5D0F"/>
    <w:rsid w:val="003F6626"/>
    <w:rsid w:val="003F7DCD"/>
    <w:rsid w:val="0040138A"/>
    <w:rsid w:val="00401E9F"/>
    <w:rsid w:val="00402409"/>
    <w:rsid w:val="0040302A"/>
    <w:rsid w:val="004038B3"/>
    <w:rsid w:val="00405360"/>
    <w:rsid w:val="004072AA"/>
    <w:rsid w:val="004104F7"/>
    <w:rsid w:val="0041113F"/>
    <w:rsid w:val="00412A53"/>
    <w:rsid w:val="00412DF8"/>
    <w:rsid w:val="00413C4A"/>
    <w:rsid w:val="00413DF8"/>
    <w:rsid w:val="0041530E"/>
    <w:rsid w:val="00415DFA"/>
    <w:rsid w:val="0041707C"/>
    <w:rsid w:val="0041738A"/>
    <w:rsid w:val="00420B7E"/>
    <w:rsid w:val="00421929"/>
    <w:rsid w:val="00426445"/>
    <w:rsid w:val="004307EF"/>
    <w:rsid w:val="004314EE"/>
    <w:rsid w:val="00431866"/>
    <w:rsid w:val="0043197F"/>
    <w:rsid w:val="004320FF"/>
    <w:rsid w:val="00432D3F"/>
    <w:rsid w:val="00433763"/>
    <w:rsid w:val="00434A85"/>
    <w:rsid w:val="00437055"/>
    <w:rsid w:val="00437EA3"/>
    <w:rsid w:val="00437EC6"/>
    <w:rsid w:val="00441553"/>
    <w:rsid w:val="00443099"/>
    <w:rsid w:val="0044377B"/>
    <w:rsid w:val="00444993"/>
    <w:rsid w:val="0044711C"/>
    <w:rsid w:val="00451335"/>
    <w:rsid w:val="004519D5"/>
    <w:rsid w:val="00454F3F"/>
    <w:rsid w:val="00455980"/>
    <w:rsid w:val="0045677F"/>
    <w:rsid w:val="00457F1C"/>
    <w:rsid w:val="00460D45"/>
    <w:rsid w:val="004663D1"/>
    <w:rsid w:val="00467430"/>
    <w:rsid w:val="00470D50"/>
    <w:rsid w:val="00477D6E"/>
    <w:rsid w:val="00482C47"/>
    <w:rsid w:val="00483247"/>
    <w:rsid w:val="00484587"/>
    <w:rsid w:val="00485FA1"/>
    <w:rsid w:val="00490F5A"/>
    <w:rsid w:val="004931C4"/>
    <w:rsid w:val="004955E4"/>
    <w:rsid w:val="00496C27"/>
    <w:rsid w:val="00497DD3"/>
    <w:rsid w:val="004A22CA"/>
    <w:rsid w:val="004A287C"/>
    <w:rsid w:val="004A318D"/>
    <w:rsid w:val="004A3E7D"/>
    <w:rsid w:val="004A3FC9"/>
    <w:rsid w:val="004A7254"/>
    <w:rsid w:val="004B34CC"/>
    <w:rsid w:val="004B420A"/>
    <w:rsid w:val="004B5AF8"/>
    <w:rsid w:val="004B70CA"/>
    <w:rsid w:val="004C093D"/>
    <w:rsid w:val="004C27BA"/>
    <w:rsid w:val="004C5261"/>
    <w:rsid w:val="004C608B"/>
    <w:rsid w:val="004C673D"/>
    <w:rsid w:val="004C764D"/>
    <w:rsid w:val="004C7B79"/>
    <w:rsid w:val="004D0492"/>
    <w:rsid w:val="004D0EAB"/>
    <w:rsid w:val="004D18DE"/>
    <w:rsid w:val="004D3B3F"/>
    <w:rsid w:val="004D757F"/>
    <w:rsid w:val="004E246F"/>
    <w:rsid w:val="004E2805"/>
    <w:rsid w:val="004E2CE4"/>
    <w:rsid w:val="004E4214"/>
    <w:rsid w:val="004E5AE1"/>
    <w:rsid w:val="004E7E04"/>
    <w:rsid w:val="004F1282"/>
    <w:rsid w:val="004F2813"/>
    <w:rsid w:val="005009F4"/>
    <w:rsid w:val="00501F33"/>
    <w:rsid w:val="0050617E"/>
    <w:rsid w:val="00512F47"/>
    <w:rsid w:val="0051310A"/>
    <w:rsid w:val="00513ED2"/>
    <w:rsid w:val="005145B5"/>
    <w:rsid w:val="005167CA"/>
    <w:rsid w:val="00522D28"/>
    <w:rsid w:val="00523F78"/>
    <w:rsid w:val="00525808"/>
    <w:rsid w:val="005344EA"/>
    <w:rsid w:val="00537170"/>
    <w:rsid w:val="00540AF3"/>
    <w:rsid w:val="00542A53"/>
    <w:rsid w:val="00544241"/>
    <w:rsid w:val="00544247"/>
    <w:rsid w:val="00550AED"/>
    <w:rsid w:val="00553331"/>
    <w:rsid w:val="00553535"/>
    <w:rsid w:val="00553C5D"/>
    <w:rsid w:val="00555F0D"/>
    <w:rsid w:val="0055706D"/>
    <w:rsid w:val="00562498"/>
    <w:rsid w:val="00562597"/>
    <w:rsid w:val="00562CA3"/>
    <w:rsid w:val="005631B8"/>
    <w:rsid w:val="00564BE0"/>
    <w:rsid w:val="005706B0"/>
    <w:rsid w:val="00570A8E"/>
    <w:rsid w:val="00574D22"/>
    <w:rsid w:val="0057510D"/>
    <w:rsid w:val="00575465"/>
    <w:rsid w:val="0057620B"/>
    <w:rsid w:val="00581250"/>
    <w:rsid w:val="00583B89"/>
    <w:rsid w:val="00585A7B"/>
    <w:rsid w:val="00587683"/>
    <w:rsid w:val="005904C8"/>
    <w:rsid w:val="00591354"/>
    <w:rsid w:val="00592927"/>
    <w:rsid w:val="005A244C"/>
    <w:rsid w:val="005A3A34"/>
    <w:rsid w:val="005A5F65"/>
    <w:rsid w:val="005A63F9"/>
    <w:rsid w:val="005A6AE5"/>
    <w:rsid w:val="005B10D9"/>
    <w:rsid w:val="005B3525"/>
    <w:rsid w:val="005B66B0"/>
    <w:rsid w:val="005C3DA9"/>
    <w:rsid w:val="005C40F3"/>
    <w:rsid w:val="005C5B25"/>
    <w:rsid w:val="005C5BA5"/>
    <w:rsid w:val="005C5EB6"/>
    <w:rsid w:val="005D0D13"/>
    <w:rsid w:val="005D1A1C"/>
    <w:rsid w:val="005D494C"/>
    <w:rsid w:val="005D54F5"/>
    <w:rsid w:val="005E09B0"/>
    <w:rsid w:val="005E364E"/>
    <w:rsid w:val="005E634F"/>
    <w:rsid w:val="005F3648"/>
    <w:rsid w:val="005F5D76"/>
    <w:rsid w:val="005F6EB9"/>
    <w:rsid w:val="005F78F8"/>
    <w:rsid w:val="00601B09"/>
    <w:rsid w:val="00601F99"/>
    <w:rsid w:val="00607669"/>
    <w:rsid w:val="0061117E"/>
    <w:rsid w:val="00612637"/>
    <w:rsid w:val="00613AD4"/>
    <w:rsid w:val="006163B8"/>
    <w:rsid w:val="00620CC4"/>
    <w:rsid w:val="0062217D"/>
    <w:rsid w:val="00623482"/>
    <w:rsid w:val="006241A7"/>
    <w:rsid w:val="00631AFC"/>
    <w:rsid w:val="00635A64"/>
    <w:rsid w:val="00635E40"/>
    <w:rsid w:val="006365FE"/>
    <w:rsid w:val="00636ACD"/>
    <w:rsid w:val="006379B9"/>
    <w:rsid w:val="0064370B"/>
    <w:rsid w:val="006440D3"/>
    <w:rsid w:val="0064486A"/>
    <w:rsid w:val="00644EFA"/>
    <w:rsid w:val="006465C8"/>
    <w:rsid w:val="006470FC"/>
    <w:rsid w:val="006472E1"/>
    <w:rsid w:val="006477FE"/>
    <w:rsid w:val="006504E9"/>
    <w:rsid w:val="006515D9"/>
    <w:rsid w:val="00651919"/>
    <w:rsid w:val="006522C7"/>
    <w:rsid w:val="00652467"/>
    <w:rsid w:val="00654850"/>
    <w:rsid w:val="00654BC7"/>
    <w:rsid w:val="00655206"/>
    <w:rsid w:val="006569EA"/>
    <w:rsid w:val="0066109E"/>
    <w:rsid w:val="00661204"/>
    <w:rsid w:val="00662CDE"/>
    <w:rsid w:val="006660F2"/>
    <w:rsid w:val="00676332"/>
    <w:rsid w:val="00676C1B"/>
    <w:rsid w:val="00677D3B"/>
    <w:rsid w:val="00680DE4"/>
    <w:rsid w:val="0068442A"/>
    <w:rsid w:val="00684F94"/>
    <w:rsid w:val="0068714F"/>
    <w:rsid w:val="006875DD"/>
    <w:rsid w:val="006909D5"/>
    <w:rsid w:val="00697612"/>
    <w:rsid w:val="006A0448"/>
    <w:rsid w:val="006A1DB8"/>
    <w:rsid w:val="006A2102"/>
    <w:rsid w:val="006A3CCA"/>
    <w:rsid w:val="006A3D77"/>
    <w:rsid w:val="006A5006"/>
    <w:rsid w:val="006A5691"/>
    <w:rsid w:val="006B096A"/>
    <w:rsid w:val="006B0CDA"/>
    <w:rsid w:val="006B34A4"/>
    <w:rsid w:val="006B41DA"/>
    <w:rsid w:val="006B5571"/>
    <w:rsid w:val="006B6375"/>
    <w:rsid w:val="006C0021"/>
    <w:rsid w:val="006C0C04"/>
    <w:rsid w:val="006C4406"/>
    <w:rsid w:val="006C7441"/>
    <w:rsid w:val="006C7797"/>
    <w:rsid w:val="006C7FDB"/>
    <w:rsid w:val="006D0EBF"/>
    <w:rsid w:val="006D176C"/>
    <w:rsid w:val="006D6393"/>
    <w:rsid w:val="006E1E85"/>
    <w:rsid w:val="006F2276"/>
    <w:rsid w:val="006F2323"/>
    <w:rsid w:val="006F3262"/>
    <w:rsid w:val="00701C84"/>
    <w:rsid w:val="0070406E"/>
    <w:rsid w:val="00704924"/>
    <w:rsid w:val="00704F6E"/>
    <w:rsid w:val="00712A1E"/>
    <w:rsid w:val="00713540"/>
    <w:rsid w:val="00713A75"/>
    <w:rsid w:val="00716907"/>
    <w:rsid w:val="0071788E"/>
    <w:rsid w:val="007212AA"/>
    <w:rsid w:val="007228AB"/>
    <w:rsid w:val="00723C5D"/>
    <w:rsid w:val="00724BB4"/>
    <w:rsid w:val="00726769"/>
    <w:rsid w:val="007272DD"/>
    <w:rsid w:val="007317DC"/>
    <w:rsid w:val="00733AA2"/>
    <w:rsid w:val="00733FB1"/>
    <w:rsid w:val="00734C78"/>
    <w:rsid w:val="00740BD0"/>
    <w:rsid w:val="00741E69"/>
    <w:rsid w:val="007424DA"/>
    <w:rsid w:val="007428DF"/>
    <w:rsid w:val="00742FE9"/>
    <w:rsid w:val="00744209"/>
    <w:rsid w:val="00745703"/>
    <w:rsid w:val="00745BD5"/>
    <w:rsid w:val="0074674D"/>
    <w:rsid w:val="00746F83"/>
    <w:rsid w:val="00747983"/>
    <w:rsid w:val="00750256"/>
    <w:rsid w:val="00750B73"/>
    <w:rsid w:val="007529C5"/>
    <w:rsid w:val="007537F1"/>
    <w:rsid w:val="00761E03"/>
    <w:rsid w:val="007638E9"/>
    <w:rsid w:val="00764D35"/>
    <w:rsid w:val="00765C75"/>
    <w:rsid w:val="00767EEF"/>
    <w:rsid w:val="00767F36"/>
    <w:rsid w:val="00773BFD"/>
    <w:rsid w:val="00774027"/>
    <w:rsid w:val="007759E0"/>
    <w:rsid w:val="0077657D"/>
    <w:rsid w:val="00781669"/>
    <w:rsid w:val="00781F2C"/>
    <w:rsid w:val="00783BF0"/>
    <w:rsid w:val="0078420F"/>
    <w:rsid w:val="00784D9A"/>
    <w:rsid w:val="00787843"/>
    <w:rsid w:val="00790A5F"/>
    <w:rsid w:val="0079346B"/>
    <w:rsid w:val="00795627"/>
    <w:rsid w:val="007957F1"/>
    <w:rsid w:val="007A00D7"/>
    <w:rsid w:val="007A3B1A"/>
    <w:rsid w:val="007A4101"/>
    <w:rsid w:val="007A6D7B"/>
    <w:rsid w:val="007A7E4F"/>
    <w:rsid w:val="007B0818"/>
    <w:rsid w:val="007B1315"/>
    <w:rsid w:val="007B7405"/>
    <w:rsid w:val="007C0920"/>
    <w:rsid w:val="007C1C36"/>
    <w:rsid w:val="007C3F46"/>
    <w:rsid w:val="007D2293"/>
    <w:rsid w:val="007D5AD1"/>
    <w:rsid w:val="007D76F5"/>
    <w:rsid w:val="007E1528"/>
    <w:rsid w:val="007E727D"/>
    <w:rsid w:val="007F028B"/>
    <w:rsid w:val="007F180F"/>
    <w:rsid w:val="007F481E"/>
    <w:rsid w:val="007F68A7"/>
    <w:rsid w:val="007F7A14"/>
    <w:rsid w:val="0081171B"/>
    <w:rsid w:val="00814B99"/>
    <w:rsid w:val="0081571B"/>
    <w:rsid w:val="00820410"/>
    <w:rsid w:val="0082048E"/>
    <w:rsid w:val="00823161"/>
    <w:rsid w:val="008273D5"/>
    <w:rsid w:val="00832170"/>
    <w:rsid w:val="00833B28"/>
    <w:rsid w:val="008363D7"/>
    <w:rsid w:val="00845271"/>
    <w:rsid w:val="008479C9"/>
    <w:rsid w:val="00851420"/>
    <w:rsid w:val="00852E3A"/>
    <w:rsid w:val="00853473"/>
    <w:rsid w:val="008554C0"/>
    <w:rsid w:val="00855F34"/>
    <w:rsid w:val="00856378"/>
    <w:rsid w:val="00860998"/>
    <w:rsid w:val="00860A4C"/>
    <w:rsid w:val="00860AB7"/>
    <w:rsid w:val="00861338"/>
    <w:rsid w:val="00861616"/>
    <w:rsid w:val="00861A61"/>
    <w:rsid w:val="00861C29"/>
    <w:rsid w:val="00862663"/>
    <w:rsid w:val="0086405E"/>
    <w:rsid w:val="00864AC5"/>
    <w:rsid w:val="00866181"/>
    <w:rsid w:val="00870C88"/>
    <w:rsid w:val="0087117D"/>
    <w:rsid w:val="00874325"/>
    <w:rsid w:val="00877997"/>
    <w:rsid w:val="00880AB0"/>
    <w:rsid w:val="00881274"/>
    <w:rsid w:val="008818FA"/>
    <w:rsid w:val="008827F1"/>
    <w:rsid w:val="00885AC7"/>
    <w:rsid w:val="0088782E"/>
    <w:rsid w:val="008926BB"/>
    <w:rsid w:val="00894DC1"/>
    <w:rsid w:val="008961DC"/>
    <w:rsid w:val="008973B1"/>
    <w:rsid w:val="008A00E4"/>
    <w:rsid w:val="008A0E17"/>
    <w:rsid w:val="008A0E3D"/>
    <w:rsid w:val="008A169C"/>
    <w:rsid w:val="008A56E0"/>
    <w:rsid w:val="008A7587"/>
    <w:rsid w:val="008B1E9A"/>
    <w:rsid w:val="008C0F08"/>
    <w:rsid w:val="008C5DC4"/>
    <w:rsid w:val="008C6FFF"/>
    <w:rsid w:val="008D0449"/>
    <w:rsid w:val="008D307E"/>
    <w:rsid w:val="008D361F"/>
    <w:rsid w:val="008D3DCB"/>
    <w:rsid w:val="008D543A"/>
    <w:rsid w:val="008D5A6A"/>
    <w:rsid w:val="008D6B19"/>
    <w:rsid w:val="008D6B89"/>
    <w:rsid w:val="008D6EC3"/>
    <w:rsid w:val="008E2484"/>
    <w:rsid w:val="008E3D95"/>
    <w:rsid w:val="008E5B4B"/>
    <w:rsid w:val="008F0108"/>
    <w:rsid w:val="008F0569"/>
    <w:rsid w:val="008F343D"/>
    <w:rsid w:val="008F6EA6"/>
    <w:rsid w:val="008F77E3"/>
    <w:rsid w:val="008F7B52"/>
    <w:rsid w:val="00902A0F"/>
    <w:rsid w:val="00903172"/>
    <w:rsid w:val="009038C4"/>
    <w:rsid w:val="00906735"/>
    <w:rsid w:val="00917D81"/>
    <w:rsid w:val="00920F6C"/>
    <w:rsid w:val="00921BF1"/>
    <w:rsid w:val="009238D7"/>
    <w:rsid w:val="009250C2"/>
    <w:rsid w:val="00925A51"/>
    <w:rsid w:val="00930664"/>
    <w:rsid w:val="00931FF2"/>
    <w:rsid w:val="00932291"/>
    <w:rsid w:val="00933AD8"/>
    <w:rsid w:val="00941A6C"/>
    <w:rsid w:val="00942754"/>
    <w:rsid w:val="00943EB3"/>
    <w:rsid w:val="0094558C"/>
    <w:rsid w:val="00945C8C"/>
    <w:rsid w:val="00946E4B"/>
    <w:rsid w:val="00950674"/>
    <w:rsid w:val="00950B95"/>
    <w:rsid w:val="00951521"/>
    <w:rsid w:val="00951E7F"/>
    <w:rsid w:val="00953516"/>
    <w:rsid w:val="00957760"/>
    <w:rsid w:val="00957F45"/>
    <w:rsid w:val="009601C9"/>
    <w:rsid w:val="00960CE8"/>
    <w:rsid w:val="009624CD"/>
    <w:rsid w:val="00963ECB"/>
    <w:rsid w:val="00965939"/>
    <w:rsid w:val="00965AFA"/>
    <w:rsid w:val="00966415"/>
    <w:rsid w:val="00971322"/>
    <w:rsid w:val="009753D3"/>
    <w:rsid w:val="00984D37"/>
    <w:rsid w:val="00990206"/>
    <w:rsid w:val="00992640"/>
    <w:rsid w:val="00995574"/>
    <w:rsid w:val="009A022A"/>
    <w:rsid w:val="009A0699"/>
    <w:rsid w:val="009A2470"/>
    <w:rsid w:val="009A2534"/>
    <w:rsid w:val="009A61DF"/>
    <w:rsid w:val="009A6AE8"/>
    <w:rsid w:val="009A7F4E"/>
    <w:rsid w:val="009B1787"/>
    <w:rsid w:val="009B2E4A"/>
    <w:rsid w:val="009B3B60"/>
    <w:rsid w:val="009B496B"/>
    <w:rsid w:val="009C2AA5"/>
    <w:rsid w:val="009C2DE3"/>
    <w:rsid w:val="009C2E1A"/>
    <w:rsid w:val="009C35E0"/>
    <w:rsid w:val="009C5AF8"/>
    <w:rsid w:val="009D1B46"/>
    <w:rsid w:val="009D1D18"/>
    <w:rsid w:val="009D1D66"/>
    <w:rsid w:val="009D2B33"/>
    <w:rsid w:val="009D3392"/>
    <w:rsid w:val="009D478A"/>
    <w:rsid w:val="009D4855"/>
    <w:rsid w:val="009D5456"/>
    <w:rsid w:val="009E25B0"/>
    <w:rsid w:val="009E5258"/>
    <w:rsid w:val="009E5453"/>
    <w:rsid w:val="009E5ED1"/>
    <w:rsid w:val="009E7030"/>
    <w:rsid w:val="009F2C1D"/>
    <w:rsid w:val="009F3003"/>
    <w:rsid w:val="009F6E88"/>
    <w:rsid w:val="009F7D9E"/>
    <w:rsid w:val="00A020F5"/>
    <w:rsid w:val="00A0234F"/>
    <w:rsid w:val="00A04061"/>
    <w:rsid w:val="00A06C8E"/>
    <w:rsid w:val="00A10562"/>
    <w:rsid w:val="00A1267F"/>
    <w:rsid w:val="00A13F9B"/>
    <w:rsid w:val="00A15121"/>
    <w:rsid w:val="00A22793"/>
    <w:rsid w:val="00A237F1"/>
    <w:rsid w:val="00A243B0"/>
    <w:rsid w:val="00A2492C"/>
    <w:rsid w:val="00A25712"/>
    <w:rsid w:val="00A2621E"/>
    <w:rsid w:val="00A263E9"/>
    <w:rsid w:val="00A27AC4"/>
    <w:rsid w:val="00A30A60"/>
    <w:rsid w:val="00A327AD"/>
    <w:rsid w:val="00A32B6D"/>
    <w:rsid w:val="00A33CB2"/>
    <w:rsid w:val="00A35173"/>
    <w:rsid w:val="00A45405"/>
    <w:rsid w:val="00A50CF2"/>
    <w:rsid w:val="00A51648"/>
    <w:rsid w:val="00A52287"/>
    <w:rsid w:val="00A53CDE"/>
    <w:rsid w:val="00A5511F"/>
    <w:rsid w:val="00A6002C"/>
    <w:rsid w:val="00A620FE"/>
    <w:rsid w:val="00A622B0"/>
    <w:rsid w:val="00A72098"/>
    <w:rsid w:val="00A7385F"/>
    <w:rsid w:val="00A77397"/>
    <w:rsid w:val="00A77501"/>
    <w:rsid w:val="00A81AB0"/>
    <w:rsid w:val="00A835CA"/>
    <w:rsid w:val="00A84724"/>
    <w:rsid w:val="00A860DD"/>
    <w:rsid w:val="00A86267"/>
    <w:rsid w:val="00A90772"/>
    <w:rsid w:val="00A937B5"/>
    <w:rsid w:val="00A937BB"/>
    <w:rsid w:val="00A93D2B"/>
    <w:rsid w:val="00A940EF"/>
    <w:rsid w:val="00A94DD0"/>
    <w:rsid w:val="00A964B8"/>
    <w:rsid w:val="00A967F2"/>
    <w:rsid w:val="00A96E5F"/>
    <w:rsid w:val="00AA003D"/>
    <w:rsid w:val="00AA058E"/>
    <w:rsid w:val="00AA105B"/>
    <w:rsid w:val="00AA16B7"/>
    <w:rsid w:val="00AA1761"/>
    <w:rsid w:val="00AA3C1C"/>
    <w:rsid w:val="00AA686C"/>
    <w:rsid w:val="00AA6CB3"/>
    <w:rsid w:val="00AA70B5"/>
    <w:rsid w:val="00AA747D"/>
    <w:rsid w:val="00AB0758"/>
    <w:rsid w:val="00AB09EF"/>
    <w:rsid w:val="00AB16AB"/>
    <w:rsid w:val="00AB3006"/>
    <w:rsid w:val="00AB3945"/>
    <w:rsid w:val="00AB432B"/>
    <w:rsid w:val="00AB56FE"/>
    <w:rsid w:val="00AB5994"/>
    <w:rsid w:val="00AC1D5E"/>
    <w:rsid w:val="00AE31B2"/>
    <w:rsid w:val="00AE3FFB"/>
    <w:rsid w:val="00AE47DC"/>
    <w:rsid w:val="00AE5913"/>
    <w:rsid w:val="00AE67D1"/>
    <w:rsid w:val="00AE716C"/>
    <w:rsid w:val="00AE7203"/>
    <w:rsid w:val="00AE7F79"/>
    <w:rsid w:val="00AF44B3"/>
    <w:rsid w:val="00AF48C1"/>
    <w:rsid w:val="00AF54CE"/>
    <w:rsid w:val="00AF6F6A"/>
    <w:rsid w:val="00B02934"/>
    <w:rsid w:val="00B03453"/>
    <w:rsid w:val="00B05490"/>
    <w:rsid w:val="00B066C3"/>
    <w:rsid w:val="00B115B9"/>
    <w:rsid w:val="00B141FE"/>
    <w:rsid w:val="00B14B5C"/>
    <w:rsid w:val="00B2033E"/>
    <w:rsid w:val="00B20592"/>
    <w:rsid w:val="00B2131D"/>
    <w:rsid w:val="00B2173C"/>
    <w:rsid w:val="00B21B5C"/>
    <w:rsid w:val="00B24803"/>
    <w:rsid w:val="00B24B1E"/>
    <w:rsid w:val="00B42565"/>
    <w:rsid w:val="00B42575"/>
    <w:rsid w:val="00B5056B"/>
    <w:rsid w:val="00B50973"/>
    <w:rsid w:val="00B53952"/>
    <w:rsid w:val="00B53F1B"/>
    <w:rsid w:val="00B555A9"/>
    <w:rsid w:val="00B56B9A"/>
    <w:rsid w:val="00B57EC0"/>
    <w:rsid w:val="00B61CFB"/>
    <w:rsid w:val="00B66136"/>
    <w:rsid w:val="00B67570"/>
    <w:rsid w:val="00B675AE"/>
    <w:rsid w:val="00B67E1E"/>
    <w:rsid w:val="00B728E6"/>
    <w:rsid w:val="00B729DE"/>
    <w:rsid w:val="00B74211"/>
    <w:rsid w:val="00B74F89"/>
    <w:rsid w:val="00B767A8"/>
    <w:rsid w:val="00B77B84"/>
    <w:rsid w:val="00B816D9"/>
    <w:rsid w:val="00B83568"/>
    <w:rsid w:val="00B8546B"/>
    <w:rsid w:val="00B87F4A"/>
    <w:rsid w:val="00B90B86"/>
    <w:rsid w:val="00B92412"/>
    <w:rsid w:val="00B948F6"/>
    <w:rsid w:val="00B94D00"/>
    <w:rsid w:val="00BA3A0C"/>
    <w:rsid w:val="00BA49BB"/>
    <w:rsid w:val="00BA4E7D"/>
    <w:rsid w:val="00BB0268"/>
    <w:rsid w:val="00BB39E1"/>
    <w:rsid w:val="00BB5A2D"/>
    <w:rsid w:val="00BB6416"/>
    <w:rsid w:val="00BB6E8C"/>
    <w:rsid w:val="00BC19F0"/>
    <w:rsid w:val="00BC31A3"/>
    <w:rsid w:val="00BC3F7F"/>
    <w:rsid w:val="00BC58CE"/>
    <w:rsid w:val="00BC65BF"/>
    <w:rsid w:val="00BC6895"/>
    <w:rsid w:val="00BD4E42"/>
    <w:rsid w:val="00BD593A"/>
    <w:rsid w:val="00BD604F"/>
    <w:rsid w:val="00BE0E71"/>
    <w:rsid w:val="00BE29CF"/>
    <w:rsid w:val="00BE2AAB"/>
    <w:rsid w:val="00BE473B"/>
    <w:rsid w:val="00BE5ABA"/>
    <w:rsid w:val="00BE6D71"/>
    <w:rsid w:val="00BE72ED"/>
    <w:rsid w:val="00BF0FE5"/>
    <w:rsid w:val="00BF1E10"/>
    <w:rsid w:val="00BF5913"/>
    <w:rsid w:val="00BF6D74"/>
    <w:rsid w:val="00BF746E"/>
    <w:rsid w:val="00C0029F"/>
    <w:rsid w:val="00C0174E"/>
    <w:rsid w:val="00C025BA"/>
    <w:rsid w:val="00C046C7"/>
    <w:rsid w:val="00C075A0"/>
    <w:rsid w:val="00C11A6C"/>
    <w:rsid w:val="00C11DC3"/>
    <w:rsid w:val="00C2548E"/>
    <w:rsid w:val="00C2656A"/>
    <w:rsid w:val="00C26FBF"/>
    <w:rsid w:val="00C32D4C"/>
    <w:rsid w:val="00C33629"/>
    <w:rsid w:val="00C34480"/>
    <w:rsid w:val="00C3720D"/>
    <w:rsid w:val="00C4008C"/>
    <w:rsid w:val="00C437F4"/>
    <w:rsid w:val="00C45095"/>
    <w:rsid w:val="00C50439"/>
    <w:rsid w:val="00C50C25"/>
    <w:rsid w:val="00C50DA1"/>
    <w:rsid w:val="00C54A8D"/>
    <w:rsid w:val="00C54F31"/>
    <w:rsid w:val="00C55BB0"/>
    <w:rsid w:val="00C55BFB"/>
    <w:rsid w:val="00C56262"/>
    <w:rsid w:val="00C565F8"/>
    <w:rsid w:val="00C61E52"/>
    <w:rsid w:val="00C624AD"/>
    <w:rsid w:val="00C6752D"/>
    <w:rsid w:val="00C675D3"/>
    <w:rsid w:val="00C67CF8"/>
    <w:rsid w:val="00C70997"/>
    <w:rsid w:val="00C72279"/>
    <w:rsid w:val="00C7499C"/>
    <w:rsid w:val="00C76F7C"/>
    <w:rsid w:val="00C80E8C"/>
    <w:rsid w:val="00C822BE"/>
    <w:rsid w:val="00C834F3"/>
    <w:rsid w:val="00C963BA"/>
    <w:rsid w:val="00C97540"/>
    <w:rsid w:val="00CA167E"/>
    <w:rsid w:val="00CA2E45"/>
    <w:rsid w:val="00CA36FE"/>
    <w:rsid w:val="00CA4844"/>
    <w:rsid w:val="00CA6882"/>
    <w:rsid w:val="00CB18DE"/>
    <w:rsid w:val="00CB2379"/>
    <w:rsid w:val="00CB35A3"/>
    <w:rsid w:val="00CB605A"/>
    <w:rsid w:val="00CB6F08"/>
    <w:rsid w:val="00CC1965"/>
    <w:rsid w:val="00CC1E64"/>
    <w:rsid w:val="00CC2486"/>
    <w:rsid w:val="00CC2DA9"/>
    <w:rsid w:val="00CC6DC6"/>
    <w:rsid w:val="00CD0C5F"/>
    <w:rsid w:val="00CD35BB"/>
    <w:rsid w:val="00CD3634"/>
    <w:rsid w:val="00CD719A"/>
    <w:rsid w:val="00CD7CE0"/>
    <w:rsid w:val="00CE1D3E"/>
    <w:rsid w:val="00CE3757"/>
    <w:rsid w:val="00CE3A61"/>
    <w:rsid w:val="00CE7076"/>
    <w:rsid w:val="00CE7868"/>
    <w:rsid w:val="00CF1D89"/>
    <w:rsid w:val="00CF6BFE"/>
    <w:rsid w:val="00D00EEA"/>
    <w:rsid w:val="00D03BF3"/>
    <w:rsid w:val="00D0538B"/>
    <w:rsid w:val="00D05CB4"/>
    <w:rsid w:val="00D07C43"/>
    <w:rsid w:val="00D11025"/>
    <w:rsid w:val="00D11539"/>
    <w:rsid w:val="00D12F2F"/>
    <w:rsid w:val="00D13904"/>
    <w:rsid w:val="00D178A1"/>
    <w:rsid w:val="00D22449"/>
    <w:rsid w:val="00D23E9F"/>
    <w:rsid w:val="00D245B0"/>
    <w:rsid w:val="00D245C7"/>
    <w:rsid w:val="00D250C4"/>
    <w:rsid w:val="00D26387"/>
    <w:rsid w:val="00D30D43"/>
    <w:rsid w:val="00D31616"/>
    <w:rsid w:val="00D31E3F"/>
    <w:rsid w:val="00D31EDF"/>
    <w:rsid w:val="00D32154"/>
    <w:rsid w:val="00D33095"/>
    <w:rsid w:val="00D3598B"/>
    <w:rsid w:val="00D37789"/>
    <w:rsid w:val="00D4004B"/>
    <w:rsid w:val="00D412C1"/>
    <w:rsid w:val="00D42158"/>
    <w:rsid w:val="00D421AF"/>
    <w:rsid w:val="00D5479C"/>
    <w:rsid w:val="00D55EDE"/>
    <w:rsid w:val="00D6076F"/>
    <w:rsid w:val="00D60BFD"/>
    <w:rsid w:val="00D6154B"/>
    <w:rsid w:val="00D62EB4"/>
    <w:rsid w:val="00D64EDF"/>
    <w:rsid w:val="00D65A70"/>
    <w:rsid w:val="00D6694E"/>
    <w:rsid w:val="00D70461"/>
    <w:rsid w:val="00D71C2A"/>
    <w:rsid w:val="00D77C74"/>
    <w:rsid w:val="00D84F64"/>
    <w:rsid w:val="00D86174"/>
    <w:rsid w:val="00D8689B"/>
    <w:rsid w:val="00D87854"/>
    <w:rsid w:val="00D878CD"/>
    <w:rsid w:val="00D92A5A"/>
    <w:rsid w:val="00D92DE3"/>
    <w:rsid w:val="00D933E2"/>
    <w:rsid w:val="00D94E8C"/>
    <w:rsid w:val="00D9762E"/>
    <w:rsid w:val="00D976D0"/>
    <w:rsid w:val="00DA43CA"/>
    <w:rsid w:val="00DA5BC9"/>
    <w:rsid w:val="00DB407F"/>
    <w:rsid w:val="00DB7261"/>
    <w:rsid w:val="00DC175F"/>
    <w:rsid w:val="00DC5F8A"/>
    <w:rsid w:val="00DC791A"/>
    <w:rsid w:val="00DE14C1"/>
    <w:rsid w:val="00DE290A"/>
    <w:rsid w:val="00DE2B27"/>
    <w:rsid w:val="00DE3141"/>
    <w:rsid w:val="00DF0911"/>
    <w:rsid w:val="00E02672"/>
    <w:rsid w:val="00E02F18"/>
    <w:rsid w:val="00E13B8A"/>
    <w:rsid w:val="00E22FB4"/>
    <w:rsid w:val="00E26334"/>
    <w:rsid w:val="00E2655B"/>
    <w:rsid w:val="00E27272"/>
    <w:rsid w:val="00E2762D"/>
    <w:rsid w:val="00E3010B"/>
    <w:rsid w:val="00E32881"/>
    <w:rsid w:val="00E32ED9"/>
    <w:rsid w:val="00E33F70"/>
    <w:rsid w:val="00E364A5"/>
    <w:rsid w:val="00E36543"/>
    <w:rsid w:val="00E3707F"/>
    <w:rsid w:val="00E432A6"/>
    <w:rsid w:val="00E45442"/>
    <w:rsid w:val="00E458F0"/>
    <w:rsid w:val="00E46310"/>
    <w:rsid w:val="00E473B4"/>
    <w:rsid w:val="00E555CA"/>
    <w:rsid w:val="00E558C0"/>
    <w:rsid w:val="00E55987"/>
    <w:rsid w:val="00E55FF0"/>
    <w:rsid w:val="00E62400"/>
    <w:rsid w:val="00E64D4A"/>
    <w:rsid w:val="00E71179"/>
    <w:rsid w:val="00E732D8"/>
    <w:rsid w:val="00E7356D"/>
    <w:rsid w:val="00E73B4B"/>
    <w:rsid w:val="00E74570"/>
    <w:rsid w:val="00E74D2A"/>
    <w:rsid w:val="00E81D87"/>
    <w:rsid w:val="00E82AE7"/>
    <w:rsid w:val="00E84B73"/>
    <w:rsid w:val="00E878A3"/>
    <w:rsid w:val="00E901C0"/>
    <w:rsid w:val="00E90463"/>
    <w:rsid w:val="00E90B46"/>
    <w:rsid w:val="00E93312"/>
    <w:rsid w:val="00E9561F"/>
    <w:rsid w:val="00EA0150"/>
    <w:rsid w:val="00EA05D2"/>
    <w:rsid w:val="00EA0D5E"/>
    <w:rsid w:val="00EA2BB3"/>
    <w:rsid w:val="00EA46A3"/>
    <w:rsid w:val="00EA77E6"/>
    <w:rsid w:val="00EB3360"/>
    <w:rsid w:val="00EB3CEC"/>
    <w:rsid w:val="00EB584A"/>
    <w:rsid w:val="00EB757C"/>
    <w:rsid w:val="00EB790D"/>
    <w:rsid w:val="00EC15D8"/>
    <w:rsid w:val="00EC5E7D"/>
    <w:rsid w:val="00EC7182"/>
    <w:rsid w:val="00ED15AE"/>
    <w:rsid w:val="00ED22F1"/>
    <w:rsid w:val="00ED457C"/>
    <w:rsid w:val="00ED784C"/>
    <w:rsid w:val="00EE1A12"/>
    <w:rsid w:val="00EE211E"/>
    <w:rsid w:val="00EE5115"/>
    <w:rsid w:val="00EE5DB7"/>
    <w:rsid w:val="00EF139F"/>
    <w:rsid w:val="00EF3337"/>
    <w:rsid w:val="00EF3C37"/>
    <w:rsid w:val="00EF4FB9"/>
    <w:rsid w:val="00EF51B9"/>
    <w:rsid w:val="00EF741D"/>
    <w:rsid w:val="00EF7998"/>
    <w:rsid w:val="00F012FA"/>
    <w:rsid w:val="00F123C5"/>
    <w:rsid w:val="00F12A2A"/>
    <w:rsid w:val="00F12F20"/>
    <w:rsid w:val="00F13A21"/>
    <w:rsid w:val="00F13C7B"/>
    <w:rsid w:val="00F15DCC"/>
    <w:rsid w:val="00F17D24"/>
    <w:rsid w:val="00F216B3"/>
    <w:rsid w:val="00F277B9"/>
    <w:rsid w:val="00F3165A"/>
    <w:rsid w:val="00F31E7F"/>
    <w:rsid w:val="00F35F97"/>
    <w:rsid w:val="00F35FE3"/>
    <w:rsid w:val="00F37CF7"/>
    <w:rsid w:val="00F41F19"/>
    <w:rsid w:val="00F4338C"/>
    <w:rsid w:val="00F45DFA"/>
    <w:rsid w:val="00F5150C"/>
    <w:rsid w:val="00F52DFF"/>
    <w:rsid w:val="00F562F4"/>
    <w:rsid w:val="00F56609"/>
    <w:rsid w:val="00F56AEB"/>
    <w:rsid w:val="00F60433"/>
    <w:rsid w:val="00F62857"/>
    <w:rsid w:val="00F63BF1"/>
    <w:rsid w:val="00F65532"/>
    <w:rsid w:val="00F707AE"/>
    <w:rsid w:val="00F72D5B"/>
    <w:rsid w:val="00F774DC"/>
    <w:rsid w:val="00F80155"/>
    <w:rsid w:val="00F8178D"/>
    <w:rsid w:val="00F82B23"/>
    <w:rsid w:val="00F82DD9"/>
    <w:rsid w:val="00F90774"/>
    <w:rsid w:val="00F92415"/>
    <w:rsid w:val="00F939DD"/>
    <w:rsid w:val="00F9496F"/>
    <w:rsid w:val="00F96E0A"/>
    <w:rsid w:val="00FA5228"/>
    <w:rsid w:val="00FA779D"/>
    <w:rsid w:val="00FB1C8C"/>
    <w:rsid w:val="00FB2D21"/>
    <w:rsid w:val="00FB71F1"/>
    <w:rsid w:val="00FB725B"/>
    <w:rsid w:val="00FC0ED6"/>
    <w:rsid w:val="00FC149B"/>
    <w:rsid w:val="00FC2BBA"/>
    <w:rsid w:val="00FC2EB3"/>
    <w:rsid w:val="00FC4BEE"/>
    <w:rsid w:val="00FC4E70"/>
    <w:rsid w:val="00FC5E81"/>
    <w:rsid w:val="00FC5FB6"/>
    <w:rsid w:val="00FC60DD"/>
    <w:rsid w:val="00FD11C0"/>
    <w:rsid w:val="00FD2978"/>
    <w:rsid w:val="00FD2A13"/>
    <w:rsid w:val="00FD3E75"/>
    <w:rsid w:val="00FD46E9"/>
    <w:rsid w:val="00FD4B73"/>
    <w:rsid w:val="00FD4D5D"/>
    <w:rsid w:val="00FD5197"/>
    <w:rsid w:val="00FD6168"/>
    <w:rsid w:val="00FD788F"/>
    <w:rsid w:val="00FD7A4A"/>
    <w:rsid w:val="00FE02E6"/>
    <w:rsid w:val="00FE1448"/>
    <w:rsid w:val="00FE23F2"/>
    <w:rsid w:val="00FE4684"/>
    <w:rsid w:val="00FE46D3"/>
    <w:rsid w:val="00FF04ED"/>
    <w:rsid w:val="00FF0526"/>
    <w:rsid w:val="00FF1211"/>
    <w:rsid w:val="00FF1287"/>
    <w:rsid w:val="00FF4DDB"/>
    <w:rsid w:val="00FF571D"/>
    <w:rsid w:val="00FF73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1F05C"/>
  <w15:docId w15:val="{6C6A8638-138F-402E-B4F6-7D5E2B37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bold">
    <w:name w:val="fontbold"/>
    <w:basedOn w:val="DefaultParagraphFont"/>
    <w:rsid w:val="00F774DC"/>
  </w:style>
  <w:style w:type="paragraph" w:styleId="ListParagraph">
    <w:name w:val="List Paragraph"/>
    <w:basedOn w:val="Normal"/>
    <w:uiPriority w:val="34"/>
    <w:qFormat/>
    <w:rsid w:val="00F774DC"/>
    <w:pPr>
      <w:ind w:left="720"/>
      <w:contextualSpacing/>
    </w:pPr>
  </w:style>
  <w:style w:type="character" w:styleId="CommentReference">
    <w:name w:val="annotation reference"/>
    <w:basedOn w:val="DefaultParagraphFont"/>
    <w:uiPriority w:val="99"/>
    <w:semiHidden/>
    <w:unhideWhenUsed/>
    <w:rsid w:val="001C7A01"/>
    <w:rPr>
      <w:sz w:val="16"/>
      <w:szCs w:val="16"/>
    </w:rPr>
  </w:style>
  <w:style w:type="paragraph" w:styleId="CommentText">
    <w:name w:val="annotation text"/>
    <w:basedOn w:val="Normal"/>
    <w:link w:val="CommentTextChar"/>
    <w:uiPriority w:val="99"/>
    <w:semiHidden/>
    <w:unhideWhenUsed/>
    <w:rsid w:val="001C7A01"/>
    <w:pPr>
      <w:spacing w:line="240" w:lineRule="auto"/>
    </w:pPr>
    <w:rPr>
      <w:sz w:val="20"/>
      <w:szCs w:val="20"/>
    </w:rPr>
  </w:style>
  <w:style w:type="character" w:customStyle="1" w:styleId="CommentTextChar">
    <w:name w:val="Comment Text Char"/>
    <w:basedOn w:val="DefaultParagraphFont"/>
    <w:link w:val="CommentText"/>
    <w:uiPriority w:val="99"/>
    <w:semiHidden/>
    <w:rsid w:val="001C7A01"/>
    <w:rPr>
      <w:sz w:val="20"/>
      <w:szCs w:val="20"/>
    </w:rPr>
  </w:style>
  <w:style w:type="paragraph" w:styleId="CommentSubject">
    <w:name w:val="annotation subject"/>
    <w:basedOn w:val="CommentText"/>
    <w:next w:val="CommentText"/>
    <w:link w:val="CommentSubjectChar"/>
    <w:uiPriority w:val="99"/>
    <w:semiHidden/>
    <w:unhideWhenUsed/>
    <w:rsid w:val="001C7A01"/>
    <w:rPr>
      <w:b/>
      <w:bCs/>
    </w:rPr>
  </w:style>
  <w:style w:type="character" w:customStyle="1" w:styleId="CommentSubjectChar">
    <w:name w:val="Comment Subject Char"/>
    <w:basedOn w:val="CommentTextChar"/>
    <w:link w:val="CommentSubject"/>
    <w:uiPriority w:val="99"/>
    <w:semiHidden/>
    <w:rsid w:val="001C7A01"/>
    <w:rPr>
      <w:b/>
      <w:bCs/>
      <w:sz w:val="20"/>
      <w:szCs w:val="20"/>
    </w:rPr>
  </w:style>
  <w:style w:type="paragraph" w:styleId="BalloonText">
    <w:name w:val="Balloon Text"/>
    <w:basedOn w:val="Normal"/>
    <w:link w:val="BalloonTextChar"/>
    <w:uiPriority w:val="99"/>
    <w:semiHidden/>
    <w:unhideWhenUsed/>
    <w:rsid w:val="001C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01"/>
    <w:rPr>
      <w:rFonts w:ascii="Segoe UI" w:hAnsi="Segoe UI" w:cs="Segoe UI"/>
      <w:sz w:val="18"/>
      <w:szCs w:val="18"/>
    </w:rPr>
  </w:style>
  <w:style w:type="character" w:customStyle="1" w:styleId="singlehighlightclass">
    <w:name w:val="single_highlight_class"/>
    <w:basedOn w:val="DefaultParagraphFont"/>
    <w:rsid w:val="00680DE4"/>
  </w:style>
  <w:style w:type="character" w:styleId="Hyperlink">
    <w:name w:val="Hyperlink"/>
    <w:basedOn w:val="DefaultParagraphFont"/>
    <w:uiPriority w:val="99"/>
    <w:unhideWhenUsed/>
    <w:rsid w:val="00C565F8"/>
    <w:rPr>
      <w:color w:val="0000FF"/>
      <w:u w:val="single"/>
    </w:rPr>
  </w:style>
  <w:style w:type="paragraph" w:styleId="FootnoteText">
    <w:name w:val="footnote text"/>
    <w:basedOn w:val="Normal"/>
    <w:link w:val="FootnoteTextChar"/>
    <w:uiPriority w:val="99"/>
    <w:unhideWhenUsed/>
    <w:rsid w:val="0079346B"/>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79346B"/>
    <w:rPr>
      <w:rFonts w:eastAsiaTheme="minorEastAsia"/>
      <w:sz w:val="20"/>
      <w:szCs w:val="20"/>
      <w:lang w:eastAsia="en-GB"/>
    </w:rPr>
  </w:style>
  <w:style w:type="paragraph" w:styleId="Header">
    <w:name w:val="header"/>
    <w:basedOn w:val="Normal"/>
    <w:link w:val="HeaderChar"/>
    <w:uiPriority w:val="99"/>
    <w:unhideWhenUsed/>
    <w:rsid w:val="00287C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7C20"/>
  </w:style>
  <w:style w:type="paragraph" w:styleId="Footer">
    <w:name w:val="footer"/>
    <w:basedOn w:val="Normal"/>
    <w:link w:val="FooterChar"/>
    <w:uiPriority w:val="99"/>
    <w:unhideWhenUsed/>
    <w:rsid w:val="00287C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C20"/>
  </w:style>
  <w:style w:type="character" w:styleId="FootnoteReference">
    <w:name w:val="footnote reference"/>
    <w:basedOn w:val="DefaultParagraphFont"/>
    <w:uiPriority w:val="99"/>
    <w:unhideWhenUsed/>
    <w:rsid w:val="00903172"/>
    <w:rPr>
      <w:vertAlign w:val="superscript"/>
    </w:rPr>
  </w:style>
  <w:style w:type="character" w:customStyle="1" w:styleId="Heading1Char">
    <w:name w:val="Heading 1 Char"/>
    <w:basedOn w:val="DefaultParagraphFont"/>
    <w:link w:val="Heading1"/>
    <w:uiPriority w:val="9"/>
    <w:rsid w:val="006F2323"/>
    <w:rPr>
      <w:rFonts w:asciiTheme="majorHAnsi" w:eastAsiaTheme="majorEastAsia" w:hAnsiTheme="majorHAnsi" w:cstheme="majorBidi"/>
      <w:color w:val="2E74B5" w:themeColor="accent1" w:themeShade="BF"/>
      <w:sz w:val="32"/>
      <w:szCs w:val="32"/>
    </w:rPr>
  </w:style>
  <w:style w:type="paragraph" w:customStyle="1" w:styleId="Authornames">
    <w:name w:val="Author names"/>
    <w:basedOn w:val="Normal"/>
    <w:next w:val="Normal"/>
    <w:qFormat/>
    <w:rsid w:val="00651919"/>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651919"/>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651919"/>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651919"/>
    <w:pPr>
      <w:spacing w:before="240" w:after="0" w:line="360" w:lineRule="auto"/>
    </w:pPr>
    <w:rPr>
      <w:rFonts w:ascii="Times New Roman" w:eastAsia="Times New Roman" w:hAnsi="Times New Roman" w:cs="Times New Roman"/>
      <w:szCs w:val="24"/>
      <w:lang w:eastAsia="en-GB"/>
    </w:rPr>
  </w:style>
  <w:style w:type="character" w:customStyle="1" w:styleId="m-1396763096353389408gmail-fontbold">
    <w:name w:val="m_-1396763096353389408gmail-fontbold"/>
    <w:basedOn w:val="DefaultParagraphFont"/>
    <w:rsid w:val="00BF1E10"/>
  </w:style>
  <w:style w:type="paragraph" w:styleId="Bibliography">
    <w:name w:val="Bibliography"/>
    <w:basedOn w:val="Normal"/>
    <w:next w:val="Normal"/>
    <w:uiPriority w:val="37"/>
    <w:semiHidden/>
    <w:unhideWhenUsed/>
    <w:rsid w:val="008A169C"/>
  </w:style>
  <w:style w:type="table" w:styleId="TableGrid">
    <w:name w:val="Table Grid"/>
    <w:basedOn w:val="TableNormal"/>
    <w:uiPriority w:val="59"/>
    <w:rsid w:val="00860A4C"/>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Glgeleme-Vurgu31">
    <w:name w:val="Renkli Gölgeleme - Vurgu 31"/>
    <w:basedOn w:val="Normal"/>
    <w:uiPriority w:val="34"/>
    <w:qFormat/>
    <w:rsid w:val="002657F0"/>
    <w:pPr>
      <w:spacing w:after="200" w:line="276" w:lineRule="auto"/>
      <w:ind w:left="720"/>
      <w:contextualSpacing/>
    </w:pPr>
    <w:rPr>
      <w:rFonts w:ascii="Calibri" w:eastAsia="MS Mincho" w:hAnsi="Calibri" w:cs="Times New Roman"/>
      <w:lang w:val="en-US"/>
    </w:rPr>
  </w:style>
  <w:style w:type="paragraph" w:styleId="DocumentMap">
    <w:name w:val="Document Map"/>
    <w:basedOn w:val="Normal"/>
    <w:link w:val="DocumentMapChar"/>
    <w:uiPriority w:val="99"/>
    <w:semiHidden/>
    <w:unhideWhenUsed/>
    <w:rsid w:val="0050617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0617E"/>
    <w:rPr>
      <w:rFonts w:ascii="Times New Roman" w:hAnsi="Times New Roman" w:cs="Times New Roman"/>
      <w:sz w:val="24"/>
      <w:szCs w:val="24"/>
    </w:rPr>
  </w:style>
  <w:style w:type="paragraph" w:customStyle="1" w:styleId="Default">
    <w:name w:val="Default"/>
    <w:rsid w:val="00C50DA1"/>
    <w:pPr>
      <w:autoSpaceDE w:val="0"/>
      <w:autoSpaceDN w:val="0"/>
      <w:adjustRightInd w:val="0"/>
      <w:spacing w:after="0" w:line="240" w:lineRule="auto"/>
    </w:pPr>
    <w:rPr>
      <w:rFonts w:ascii="Cambria" w:hAnsi="Cambria" w:cs="Cambria"/>
      <w:color w:val="000000"/>
      <w:sz w:val="24"/>
      <w:szCs w:val="24"/>
      <w:lang w:val="en-US"/>
    </w:rPr>
  </w:style>
  <w:style w:type="character" w:customStyle="1" w:styleId="A8">
    <w:name w:val="A8"/>
    <w:uiPriority w:val="99"/>
    <w:rsid w:val="00C50DA1"/>
    <w:rPr>
      <w:rFonts w:cs="Cambria"/>
      <w:color w:val="000000"/>
      <w:sz w:val="20"/>
      <w:szCs w:val="20"/>
    </w:rPr>
  </w:style>
  <w:style w:type="character" w:customStyle="1" w:styleId="highlight">
    <w:name w:val="highlight"/>
    <w:basedOn w:val="DefaultParagraphFont"/>
    <w:rsid w:val="00126FAC"/>
  </w:style>
  <w:style w:type="character" w:customStyle="1" w:styleId="st">
    <w:name w:val="st"/>
    <w:basedOn w:val="DefaultParagraphFont"/>
    <w:rsid w:val="00B74211"/>
  </w:style>
  <w:style w:type="character" w:styleId="Emphasis">
    <w:name w:val="Emphasis"/>
    <w:basedOn w:val="DefaultParagraphFont"/>
    <w:uiPriority w:val="20"/>
    <w:qFormat/>
    <w:rsid w:val="00B74211"/>
    <w:rPr>
      <w:i/>
      <w:iCs/>
    </w:rPr>
  </w:style>
  <w:style w:type="paragraph" w:styleId="NoSpacing">
    <w:name w:val="No Spacing"/>
    <w:uiPriority w:val="1"/>
    <w:qFormat/>
    <w:rsid w:val="00612637"/>
    <w:pPr>
      <w:spacing w:after="0" w:line="240" w:lineRule="auto"/>
    </w:pPr>
    <w:rPr>
      <w:rFonts w:eastAsiaTheme="minorEastAsia"/>
      <w:lang w:eastAsia="tr-TR"/>
    </w:rPr>
  </w:style>
  <w:style w:type="character" w:customStyle="1" w:styleId="lrzxr">
    <w:name w:val="lrzxr"/>
    <w:basedOn w:val="DefaultParagraphFont"/>
    <w:rsid w:val="006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5459">
      <w:bodyDiv w:val="1"/>
      <w:marLeft w:val="0"/>
      <w:marRight w:val="0"/>
      <w:marTop w:val="0"/>
      <w:marBottom w:val="0"/>
      <w:divBdr>
        <w:top w:val="none" w:sz="0" w:space="0" w:color="auto"/>
        <w:left w:val="none" w:sz="0" w:space="0" w:color="auto"/>
        <w:bottom w:val="none" w:sz="0" w:space="0" w:color="auto"/>
        <w:right w:val="none" w:sz="0" w:space="0" w:color="auto"/>
      </w:divBdr>
      <w:divsChild>
        <w:div w:id="2086148044">
          <w:marLeft w:val="0"/>
          <w:marRight w:val="0"/>
          <w:marTop w:val="0"/>
          <w:marBottom w:val="0"/>
          <w:divBdr>
            <w:top w:val="none" w:sz="0" w:space="0" w:color="auto"/>
            <w:left w:val="none" w:sz="0" w:space="0" w:color="auto"/>
            <w:bottom w:val="none" w:sz="0" w:space="0" w:color="auto"/>
            <w:right w:val="none" w:sz="0" w:space="0" w:color="auto"/>
          </w:divBdr>
        </w:div>
      </w:divsChild>
    </w:div>
    <w:div w:id="189225754">
      <w:bodyDiv w:val="1"/>
      <w:marLeft w:val="0"/>
      <w:marRight w:val="0"/>
      <w:marTop w:val="0"/>
      <w:marBottom w:val="0"/>
      <w:divBdr>
        <w:top w:val="none" w:sz="0" w:space="0" w:color="auto"/>
        <w:left w:val="none" w:sz="0" w:space="0" w:color="auto"/>
        <w:bottom w:val="none" w:sz="0" w:space="0" w:color="auto"/>
        <w:right w:val="none" w:sz="0" w:space="0" w:color="auto"/>
      </w:divBdr>
    </w:div>
    <w:div w:id="218248664">
      <w:bodyDiv w:val="1"/>
      <w:marLeft w:val="0"/>
      <w:marRight w:val="0"/>
      <w:marTop w:val="0"/>
      <w:marBottom w:val="0"/>
      <w:divBdr>
        <w:top w:val="none" w:sz="0" w:space="0" w:color="auto"/>
        <w:left w:val="none" w:sz="0" w:space="0" w:color="auto"/>
        <w:bottom w:val="none" w:sz="0" w:space="0" w:color="auto"/>
        <w:right w:val="none" w:sz="0" w:space="0" w:color="auto"/>
      </w:divBdr>
    </w:div>
    <w:div w:id="679359200">
      <w:bodyDiv w:val="1"/>
      <w:marLeft w:val="0"/>
      <w:marRight w:val="0"/>
      <w:marTop w:val="0"/>
      <w:marBottom w:val="0"/>
      <w:divBdr>
        <w:top w:val="none" w:sz="0" w:space="0" w:color="auto"/>
        <w:left w:val="none" w:sz="0" w:space="0" w:color="auto"/>
        <w:bottom w:val="none" w:sz="0" w:space="0" w:color="auto"/>
        <w:right w:val="none" w:sz="0" w:space="0" w:color="auto"/>
      </w:divBdr>
      <w:divsChild>
        <w:div w:id="1261837962">
          <w:marLeft w:val="0"/>
          <w:marRight w:val="0"/>
          <w:marTop w:val="0"/>
          <w:marBottom w:val="0"/>
          <w:divBdr>
            <w:top w:val="none" w:sz="0" w:space="0" w:color="auto"/>
            <w:left w:val="none" w:sz="0" w:space="0" w:color="auto"/>
            <w:bottom w:val="none" w:sz="0" w:space="0" w:color="auto"/>
            <w:right w:val="none" w:sz="0" w:space="0" w:color="auto"/>
          </w:divBdr>
        </w:div>
      </w:divsChild>
    </w:div>
    <w:div w:id="971325103">
      <w:bodyDiv w:val="1"/>
      <w:marLeft w:val="0"/>
      <w:marRight w:val="0"/>
      <w:marTop w:val="0"/>
      <w:marBottom w:val="0"/>
      <w:divBdr>
        <w:top w:val="none" w:sz="0" w:space="0" w:color="auto"/>
        <w:left w:val="none" w:sz="0" w:space="0" w:color="auto"/>
        <w:bottom w:val="none" w:sz="0" w:space="0" w:color="auto"/>
        <w:right w:val="none" w:sz="0" w:space="0" w:color="auto"/>
      </w:divBdr>
    </w:div>
    <w:div w:id="1246721514">
      <w:bodyDiv w:val="1"/>
      <w:marLeft w:val="0"/>
      <w:marRight w:val="0"/>
      <w:marTop w:val="0"/>
      <w:marBottom w:val="0"/>
      <w:divBdr>
        <w:top w:val="none" w:sz="0" w:space="0" w:color="auto"/>
        <w:left w:val="none" w:sz="0" w:space="0" w:color="auto"/>
        <w:bottom w:val="none" w:sz="0" w:space="0" w:color="auto"/>
        <w:right w:val="none" w:sz="0" w:space="0" w:color="auto"/>
      </w:divBdr>
    </w:div>
    <w:div w:id="1346707162">
      <w:bodyDiv w:val="1"/>
      <w:marLeft w:val="0"/>
      <w:marRight w:val="0"/>
      <w:marTop w:val="0"/>
      <w:marBottom w:val="0"/>
      <w:divBdr>
        <w:top w:val="none" w:sz="0" w:space="0" w:color="auto"/>
        <w:left w:val="none" w:sz="0" w:space="0" w:color="auto"/>
        <w:bottom w:val="none" w:sz="0" w:space="0" w:color="auto"/>
        <w:right w:val="none" w:sz="0" w:space="0" w:color="auto"/>
      </w:divBdr>
      <w:divsChild>
        <w:div w:id="947739760">
          <w:marLeft w:val="0"/>
          <w:marRight w:val="0"/>
          <w:marTop w:val="0"/>
          <w:marBottom w:val="0"/>
          <w:divBdr>
            <w:top w:val="none" w:sz="0" w:space="0" w:color="auto"/>
            <w:left w:val="none" w:sz="0" w:space="0" w:color="auto"/>
            <w:bottom w:val="none" w:sz="0" w:space="0" w:color="auto"/>
            <w:right w:val="none" w:sz="0" w:space="0" w:color="auto"/>
          </w:divBdr>
        </w:div>
      </w:divsChild>
    </w:div>
    <w:div w:id="134986856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36">
          <w:marLeft w:val="0"/>
          <w:marRight w:val="0"/>
          <w:marTop w:val="0"/>
          <w:marBottom w:val="0"/>
          <w:divBdr>
            <w:top w:val="none" w:sz="0" w:space="0" w:color="auto"/>
            <w:left w:val="none" w:sz="0" w:space="0" w:color="auto"/>
            <w:bottom w:val="none" w:sz="0" w:space="0" w:color="auto"/>
            <w:right w:val="none" w:sz="0" w:space="0" w:color="auto"/>
          </w:divBdr>
        </w:div>
      </w:divsChild>
    </w:div>
    <w:div w:id="1978561514">
      <w:bodyDiv w:val="1"/>
      <w:marLeft w:val="0"/>
      <w:marRight w:val="0"/>
      <w:marTop w:val="0"/>
      <w:marBottom w:val="0"/>
      <w:divBdr>
        <w:top w:val="none" w:sz="0" w:space="0" w:color="auto"/>
        <w:left w:val="none" w:sz="0" w:space="0" w:color="auto"/>
        <w:bottom w:val="none" w:sz="0" w:space="0" w:color="auto"/>
        <w:right w:val="none" w:sz="0" w:space="0" w:color="auto"/>
      </w:divBdr>
      <w:divsChild>
        <w:div w:id="1546025228">
          <w:marLeft w:val="0"/>
          <w:marRight w:val="0"/>
          <w:marTop w:val="0"/>
          <w:marBottom w:val="0"/>
          <w:divBdr>
            <w:top w:val="none" w:sz="0" w:space="0" w:color="auto"/>
            <w:left w:val="none" w:sz="0" w:space="0" w:color="auto"/>
            <w:bottom w:val="none" w:sz="0" w:space="0" w:color="auto"/>
            <w:right w:val="none" w:sz="0" w:space="0" w:color="auto"/>
          </w:divBdr>
          <w:divsChild>
            <w:div w:id="361054021">
              <w:marLeft w:val="0"/>
              <w:marRight w:val="0"/>
              <w:marTop w:val="0"/>
              <w:marBottom w:val="0"/>
              <w:divBdr>
                <w:top w:val="none" w:sz="0" w:space="0" w:color="auto"/>
                <w:left w:val="none" w:sz="0" w:space="0" w:color="auto"/>
                <w:bottom w:val="none" w:sz="0" w:space="0" w:color="auto"/>
                <w:right w:val="none" w:sz="0" w:space="0" w:color="auto"/>
              </w:divBdr>
            </w:div>
            <w:div w:id="1547990454">
              <w:marLeft w:val="0"/>
              <w:marRight w:val="0"/>
              <w:marTop w:val="0"/>
              <w:marBottom w:val="0"/>
              <w:divBdr>
                <w:top w:val="none" w:sz="0" w:space="0" w:color="auto"/>
                <w:left w:val="none" w:sz="0" w:space="0" w:color="auto"/>
                <w:bottom w:val="none" w:sz="0" w:space="0" w:color="auto"/>
                <w:right w:val="none" w:sz="0" w:space="0" w:color="auto"/>
              </w:divBdr>
            </w:div>
            <w:div w:id="1971207028">
              <w:marLeft w:val="0"/>
              <w:marRight w:val="0"/>
              <w:marTop w:val="0"/>
              <w:marBottom w:val="0"/>
              <w:divBdr>
                <w:top w:val="none" w:sz="0" w:space="0" w:color="auto"/>
                <w:left w:val="none" w:sz="0" w:space="0" w:color="auto"/>
                <w:bottom w:val="none" w:sz="0" w:space="0" w:color="auto"/>
                <w:right w:val="none" w:sz="0" w:space="0" w:color="auto"/>
              </w:divBdr>
            </w:div>
            <w:div w:id="2034917455">
              <w:marLeft w:val="0"/>
              <w:marRight w:val="0"/>
              <w:marTop w:val="0"/>
              <w:marBottom w:val="0"/>
              <w:divBdr>
                <w:top w:val="none" w:sz="0" w:space="0" w:color="auto"/>
                <w:left w:val="none" w:sz="0" w:space="0" w:color="auto"/>
                <w:bottom w:val="none" w:sz="0" w:space="0" w:color="auto"/>
                <w:right w:val="none" w:sz="0" w:space="0" w:color="auto"/>
              </w:divBdr>
            </w:div>
            <w:div w:id="1222984429">
              <w:marLeft w:val="0"/>
              <w:marRight w:val="0"/>
              <w:marTop w:val="0"/>
              <w:marBottom w:val="0"/>
              <w:divBdr>
                <w:top w:val="none" w:sz="0" w:space="0" w:color="auto"/>
                <w:left w:val="none" w:sz="0" w:space="0" w:color="auto"/>
                <w:bottom w:val="none" w:sz="0" w:space="0" w:color="auto"/>
                <w:right w:val="none" w:sz="0" w:space="0" w:color="auto"/>
              </w:divBdr>
            </w:div>
            <w:div w:id="482352713">
              <w:marLeft w:val="0"/>
              <w:marRight w:val="0"/>
              <w:marTop w:val="0"/>
              <w:marBottom w:val="0"/>
              <w:divBdr>
                <w:top w:val="none" w:sz="0" w:space="0" w:color="auto"/>
                <w:left w:val="none" w:sz="0" w:space="0" w:color="auto"/>
                <w:bottom w:val="none" w:sz="0" w:space="0" w:color="auto"/>
                <w:right w:val="none" w:sz="0" w:space="0" w:color="auto"/>
              </w:divBdr>
            </w:div>
            <w:div w:id="1878660350">
              <w:marLeft w:val="0"/>
              <w:marRight w:val="0"/>
              <w:marTop w:val="0"/>
              <w:marBottom w:val="0"/>
              <w:divBdr>
                <w:top w:val="none" w:sz="0" w:space="0" w:color="auto"/>
                <w:left w:val="none" w:sz="0" w:space="0" w:color="auto"/>
                <w:bottom w:val="none" w:sz="0" w:space="0" w:color="auto"/>
                <w:right w:val="none" w:sz="0" w:space="0" w:color="auto"/>
              </w:divBdr>
            </w:div>
            <w:div w:id="1805849121">
              <w:marLeft w:val="0"/>
              <w:marRight w:val="0"/>
              <w:marTop w:val="0"/>
              <w:marBottom w:val="0"/>
              <w:divBdr>
                <w:top w:val="none" w:sz="0" w:space="0" w:color="auto"/>
                <w:left w:val="none" w:sz="0" w:space="0" w:color="auto"/>
                <w:bottom w:val="none" w:sz="0" w:space="0" w:color="auto"/>
                <w:right w:val="none" w:sz="0" w:space="0" w:color="auto"/>
              </w:divBdr>
            </w:div>
            <w:div w:id="401952168">
              <w:marLeft w:val="0"/>
              <w:marRight w:val="0"/>
              <w:marTop w:val="0"/>
              <w:marBottom w:val="0"/>
              <w:divBdr>
                <w:top w:val="none" w:sz="0" w:space="0" w:color="auto"/>
                <w:left w:val="none" w:sz="0" w:space="0" w:color="auto"/>
                <w:bottom w:val="none" w:sz="0" w:space="0" w:color="auto"/>
                <w:right w:val="none" w:sz="0" w:space="0" w:color="auto"/>
              </w:divBdr>
            </w:div>
            <w:div w:id="1276642048">
              <w:marLeft w:val="0"/>
              <w:marRight w:val="0"/>
              <w:marTop w:val="0"/>
              <w:marBottom w:val="0"/>
              <w:divBdr>
                <w:top w:val="none" w:sz="0" w:space="0" w:color="auto"/>
                <w:left w:val="none" w:sz="0" w:space="0" w:color="auto"/>
                <w:bottom w:val="none" w:sz="0" w:space="0" w:color="auto"/>
                <w:right w:val="none" w:sz="0" w:space="0" w:color="auto"/>
              </w:divBdr>
            </w:div>
            <w:div w:id="342363520">
              <w:marLeft w:val="0"/>
              <w:marRight w:val="0"/>
              <w:marTop w:val="0"/>
              <w:marBottom w:val="0"/>
              <w:divBdr>
                <w:top w:val="none" w:sz="0" w:space="0" w:color="auto"/>
                <w:left w:val="none" w:sz="0" w:space="0" w:color="auto"/>
                <w:bottom w:val="none" w:sz="0" w:space="0" w:color="auto"/>
                <w:right w:val="none" w:sz="0" w:space="0" w:color="auto"/>
              </w:divBdr>
            </w:div>
            <w:div w:id="1760055402">
              <w:marLeft w:val="0"/>
              <w:marRight w:val="0"/>
              <w:marTop w:val="0"/>
              <w:marBottom w:val="0"/>
              <w:divBdr>
                <w:top w:val="none" w:sz="0" w:space="0" w:color="auto"/>
                <w:left w:val="none" w:sz="0" w:space="0" w:color="auto"/>
                <w:bottom w:val="none" w:sz="0" w:space="0" w:color="auto"/>
                <w:right w:val="none" w:sz="0" w:space="0" w:color="auto"/>
              </w:divBdr>
            </w:div>
            <w:div w:id="580606577">
              <w:marLeft w:val="0"/>
              <w:marRight w:val="0"/>
              <w:marTop w:val="0"/>
              <w:marBottom w:val="0"/>
              <w:divBdr>
                <w:top w:val="none" w:sz="0" w:space="0" w:color="auto"/>
                <w:left w:val="none" w:sz="0" w:space="0" w:color="auto"/>
                <w:bottom w:val="none" w:sz="0" w:space="0" w:color="auto"/>
                <w:right w:val="none" w:sz="0" w:space="0" w:color="auto"/>
              </w:divBdr>
            </w:div>
            <w:div w:id="12571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2403">
      <w:bodyDiv w:val="1"/>
      <w:marLeft w:val="0"/>
      <w:marRight w:val="0"/>
      <w:marTop w:val="0"/>
      <w:marBottom w:val="0"/>
      <w:divBdr>
        <w:top w:val="none" w:sz="0" w:space="0" w:color="auto"/>
        <w:left w:val="none" w:sz="0" w:space="0" w:color="auto"/>
        <w:bottom w:val="none" w:sz="0" w:space="0" w:color="auto"/>
        <w:right w:val="none" w:sz="0" w:space="0" w:color="auto"/>
      </w:divBdr>
      <w:divsChild>
        <w:div w:id="686521046">
          <w:marLeft w:val="0"/>
          <w:marRight w:val="0"/>
          <w:marTop w:val="0"/>
          <w:marBottom w:val="0"/>
          <w:divBdr>
            <w:top w:val="none" w:sz="0" w:space="0" w:color="auto"/>
            <w:left w:val="none" w:sz="0" w:space="0" w:color="auto"/>
            <w:bottom w:val="none" w:sz="0" w:space="0" w:color="auto"/>
            <w:right w:val="none" w:sz="0" w:space="0" w:color="auto"/>
          </w:divBdr>
        </w:div>
        <w:div w:id="150024887">
          <w:marLeft w:val="0"/>
          <w:marRight w:val="0"/>
          <w:marTop w:val="0"/>
          <w:marBottom w:val="0"/>
          <w:divBdr>
            <w:top w:val="none" w:sz="0" w:space="0" w:color="auto"/>
            <w:left w:val="none" w:sz="0" w:space="0" w:color="auto"/>
            <w:bottom w:val="none" w:sz="0" w:space="0" w:color="auto"/>
            <w:right w:val="none" w:sz="0" w:space="0" w:color="auto"/>
          </w:divBdr>
        </w:div>
        <w:div w:id="452865555">
          <w:marLeft w:val="0"/>
          <w:marRight w:val="0"/>
          <w:marTop w:val="0"/>
          <w:marBottom w:val="0"/>
          <w:divBdr>
            <w:top w:val="none" w:sz="0" w:space="0" w:color="auto"/>
            <w:left w:val="none" w:sz="0" w:space="0" w:color="auto"/>
            <w:bottom w:val="none" w:sz="0" w:space="0" w:color="auto"/>
            <w:right w:val="none" w:sz="0" w:space="0" w:color="auto"/>
          </w:divBdr>
        </w:div>
        <w:div w:id="528302188">
          <w:marLeft w:val="0"/>
          <w:marRight w:val="0"/>
          <w:marTop w:val="0"/>
          <w:marBottom w:val="0"/>
          <w:divBdr>
            <w:top w:val="none" w:sz="0" w:space="0" w:color="auto"/>
            <w:left w:val="none" w:sz="0" w:space="0" w:color="auto"/>
            <w:bottom w:val="none" w:sz="0" w:space="0" w:color="auto"/>
            <w:right w:val="none" w:sz="0" w:space="0" w:color="auto"/>
          </w:divBdr>
        </w:div>
        <w:div w:id="446969271">
          <w:marLeft w:val="0"/>
          <w:marRight w:val="0"/>
          <w:marTop w:val="0"/>
          <w:marBottom w:val="0"/>
          <w:divBdr>
            <w:top w:val="none" w:sz="0" w:space="0" w:color="auto"/>
            <w:left w:val="none" w:sz="0" w:space="0" w:color="auto"/>
            <w:bottom w:val="none" w:sz="0" w:space="0" w:color="auto"/>
            <w:right w:val="none" w:sz="0" w:space="0" w:color="auto"/>
          </w:divBdr>
        </w:div>
        <w:div w:id="1407872273">
          <w:marLeft w:val="0"/>
          <w:marRight w:val="0"/>
          <w:marTop w:val="0"/>
          <w:marBottom w:val="0"/>
          <w:divBdr>
            <w:top w:val="none" w:sz="0" w:space="0" w:color="auto"/>
            <w:left w:val="none" w:sz="0" w:space="0" w:color="auto"/>
            <w:bottom w:val="none" w:sz="0" w:space="0" w:color="auto"/>
            <w:right w:val="none" w:sz="0" w:space="0" w:color="auto"/>
          </w:divBdr>
        </w:div>
        <w:div w:id="1088696890">
          <w:marLeft w:val="0"/>
          <w:marRight w:val="0"/>
          <w:marTop w:val="0"/>
          <w:marBottom w:val="0"/>
          <w:divBdr>
            <w:top w:val="none" w:sz="0" w:space="0" w:color="auto"/>
            <w:left w:val="none" w:sz="0" w:space="0" w:color="auto"/>
            <w:bottom w:val="none" w:sz="0" w:space="0" w:color="auto"/>
            <w:right w:val="none" w:sz="0" w:space="0" w:color="auto"/>
          </w:divBdr>
        </w:div>
      </w:divsChild>
    </w:div>
    <w:div w:id="21408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n@lancaster.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new/fileadmin/MULTIMEDIA/HQ/ED/ED_new/pdf/FFA-ENG-27Oct15.pd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b.gov.tr/duyurular/duyurular2012/12Yil_Soru_Cevapla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gitimsen.org.tr/2014-2015-egitim-ogretim-yili-baslarken-kiz-cocuklari-egitim-sisteminin-neresinde/" TargetMode="External"/><Relationship Id="rId4" Type="http://schemas.openxmlformats.org/officeDocument/2006/relationships/settings" Target="settings.xml"/><Relationship Id="rId9" Type="http://schemas.openxmlformats.org/officeDocument/2006/relationships/hyperlink" Target="http://egitimsen.org.tr/11-ekim-dunya-kiz-cocuklari-gununde-turkiyede-hala-cocuk-gelinler-ve-cocuk-isciler-va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874C-CC88-42A9-B99B-26F5DBE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9214</Words>
  <Characters>52523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belgin</dc:creator>
  <cp:lastModifiedBy>melis cin</cp:lastModifiedBy>
  <cp:revision>2</cp:revision>
  <cp:lastPrinted>2018-05-30T08:48:00Z</cp:lastPrinted>
  <dcterms:created xsi:type="dcterms:W3CDTF">2018-05-30T12:00:00Z</dcterms:created>
  <dcterms:modified xsi:type="dcterms:W3CDTF">2018-05-30T12:00:00Z</dcterms:modified>
</cp:coreProperties>
</file>