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A2C" w:rsidRPr="00774E83" w:rsidRDefault="000740F2">
      <w:pPr>
        <w:rPr>
          <w:b/>
        </w:rPr>
      </w:pPr>
      <w:bookmarkStart w:id="0" w:name="_GoBack"/>
      <w:bookmarkEnd w:id="0"/>
      <w:r w:rsidRPr="00774E83">
        <w:rPr>
          <w:b/>
        </w:rPr>
        <w:t xml:space="preserve">Variability within the human </w:t>
      </w:r>
      <w:proofErr w:type="spellStart"/>
      <w:r w:rsidRPr="00774E83">
        <w:rPr>
          <w:b/>
        </w:rPr>
        <w:t>iNOS</w:t>
      </w:r>
      <w:proofErr w:type="spellEnd"/>
      <w:r w:rsidRPr="00774E83">
        <w:rPr>
          <w:b/>
        </w:rPr>
        <w:t xml:space="preserve"> gene and Achilles tendon injuries: Evidence for a heterozygous advantage effect</w:t>
      </w:r>
    </w:p>
    <w:p w:rsidR="000740F2" w:rsidRPr="00774E83" w:rsidRDefault="000740F2">
      <w:pPr>
        <w:rPr>
          <w:b/>
        </w:rPr>
      </w:pPr>
      <w:r w:rsidRPr="00774E83">
        <w:rPr>
          <w:b/>
        </w:rPr>
        <w:t>Abstract</w:t>
      </w:r>
    </w:p>
    <w:p w:rsidR="000740F2" w:rsidRDefault="000740F2" w:rsidP="000740F2">
      <w:r>
        <w:t>Objectives: The aim of this case control genetic association study was to explore whether two variants within the inducible nitric oxide synthase (</w:t>
      </w:r>
      <w:proofErr w:type="spellStart"/>
      <w:r>
        <w:t>iNOS</w:t>
      </w:r>
      <w:proofErr w:type="spellEnd"/>
      <w:r>
        <w:t>) gene, rs2779249 (C/A) and rs2248814 (A/G), inﬂuenced the risk of Achilles tendinopathy in a British population.</w:t>
      </w:r>
    </w:p>
    <w:p w:rsidR="000740F2" w:rsidRDefault="000740F2" w:rsidP="000740F2">
      <w:r>
        <w:t>Design: Candidate gene, case control association study.</w:t>
      </w:r>
    </w:p>
    <w:p w:rsidR="000740F2" w:rsidRDefault="000740F2" w:rsidP="000740F2">
      <w:r>
        <w:t xml:space="preserve">Method: We recruited 145 individuals diagnosed with Achilles tendon pathology and 132 asymptomatic controls. All participants were genotyped for the </w:t>
      </w:r>
      <w:proofErr w:type="spellStart"/>
      <w:r>
        <w:t>iNOS</w:t>
      </w:r>
      <w:proofErr w:type="spellEnd"/>
      <w:r>
        <w:t xml:space="preserve"> variants using qPCR and signiﬁcant associations were discovered using a combination of Chi squared and ANOVA type analysis.</w:t>
      </w:r>
    </w:p>
    <w:p w:rsidR="000740F2" w:rsidRDefault="000740F2" w:rsidP="000740F2">
      <w:r>
        <w:t xml:space="preserve">Results: The CA genotype of the </w:t>
      </w:r>
      <w:proofErr w:type="spellStart"/>
      <w:r>
        <w:t>iNOS</w:t>
      </w:r>
      <w:proofErr w:type="spellEnd"/>
      <w:r>
        <w:t xml:space="preserve"> rs2779249 variant was protective and conformed to a heterozygous advantage model of inheritance as it was overrepresented in the control participants (p = 0.009). In sex speciﬁc analysis the protective association persisted in male participants (p = 0.016) but not in females. Unlike the rs2779249 variant, the rs2248814 variant was not associated with Achilles tendinopathy or Achilles tendon rupture.</w:t>
      </w:r>
    </w:p>
    <w:p w:rsidR="000740F2" w:rsidRDefault="000740F2" w:rsidP="000740F2">
      <w:r>
        <w:t xml:space="preserve">Conclusion: The rs2779249 CA genotype within the human </w:t>
      </w:r>
      <w:proofErr w:type="spellStart"/>
      <w:r>
        <w:t>iNOS</w:t>
      </w:r>
      <w:proofErr w:type="spellEnd"/>
      <w:r>
        <w:t xml:space="preserve"> gene appears to protect individuals from Achilles tendinopathy. This study further supports a genetic contribution to modifying the risk of Achilles tendon problems. The study also infers an important role for nitric oxide in tendon healing and/or degradation</w:t>
      </w:r>
    </w:p>
    <w:p w:rsidR="000740F2" w:rsidRPr="00774E83" w:rsidRDefault="000740F2" w:rsidP="000740F2">
      <w:pPr>
        <w:rPr>
          <w:b/>
        </w:rPr>
      </w:pPr>
      <w:r w:rsidRPr="00774E83">
        <w:rPr>
          <w:b/>
        </w:rPr>
        <w:t>Practical implications</w:t>
      </w:r>
    </w:p>
    <w:p w:rsidR="000740F2" w:rsidRDefault="000740F2" w:rsidP="000740F2">
      <w:r>
        <w:t>•</w:t>
      </w:r>
      <w:r>
        <w:tab/>
        <w:t xml:space="preserve">The </w:t>
      </w:r>
      <w:proofErr w:type="spellStart"/>
      <w:r>
        <w:t>iNOS</w:t>
      </w:r>
      <w:proofErr w:type="spellEnd"/>
      <w:r>
        <w:t xml:space="preserve"> rs2779249 genotype could be used to assess risk of Achilles tendon problems in athletic populations.</w:t>
      </w:r>
    </w:p>
    <w:p w:rsidR="000740F2" w:rsidRDefault="000740F2" w:rsidP="000740F2">
      <w:r>
        <w:t>•</w:t>
      </w:r>
      <w:r>
        <w:tab/>
        <w:t xml:space="preserve">The </w:t>
      </w:r>
      <w:proofErr w:type="spellStart"/>
      <w:r>
        <w:t>iNOS</w:t>
      </w:r>
      <w:proofErr w:type="spellEnd"/>
      <w:r>
        <w:t xml:space="preserve"> rs2779249 genotype might have future application in</w:t>
      </w:r>
    </w:p>
    <w:p w:rsidR="000740F2" w:rsidRDefault="000740F2" w:rsidP="000740F2">
      <w:r>
        <w:t>personalised treatments for those with Achilles tendon pathologies.</w:t>
      </w:r>
    </w:p>
    <w:p w:rsidR="000740F2" w:rsidRDefault="000740F2" w:rsidP="000740F2">
      <w:r>
        <w:t>•</w:t>
      </w:r>
      <w:r>
        <w:tab/>
        <w:t xml:space="preserve">The inclusion of the </w:t>
      </w:r>
      <w:proofErr w:type="spellStart"/>
      <w:r>
        <w:t>iNOS</w:t>
      </w:r>
      <w:proofErr w:type="spellEnd"/>
      <w:r>
        <w:t xml:space="preserve"> rs2779249 genotype in current injury</w:t>
      </w:r>
    </w:p>
    <w:p w:rsidR="000740F2" w:rsidRDefault="000740F2" w:rsidP="000740F2">
      <w:r>
        <w:t>risk models might improve the predictive potential of such tests to assess risk.</w:t>
      </w:r>
    </w:p>
    <w:p w:rsidR="000740F2" w:rsidRPr="000740F2" w:rsidRDefault="000740F2" w:rsidP="000740F2">
      <w:pPr>
        <w:rPr>
          <w:b/>
        </w:rPr>
      </w:pPr>
      <w:r w:rsidRPr="000740F2">
        <w:rPr>
          <w:b/>
        </w:rPr>
        <w:t>Introduction</w:t>
      </w:r>
    </w:p>
    <w:p w:rsidR="000740F2" w:rsidRDefault="000740F2" w:rsidP="000740F2">
      <w:r>
        <w:t>Achilles tendon pathology (ATP) is a complex, painful, degenerative condition, affecting both sporting and sedentary individuals.1 75% of Achilles tendon ruptures are observed in middle aged sport participating males.2 Multiple intrinsic and extrinsic risk factors contribute to ATP aetiology, and the condition is known to have a genetic3 and, more recently, an epigenetic basis.4,5</w:t>
      </w:r>
    </w:p>
    <w:p w:rsidR="000740F2" w:rsidRDefault="000740F2" w:rsidP="000740F2">
      <w:r>
        <w:t>The inducible nitric oxide synthase (</w:t>
      </w:r>
      <w:proofErr w:type="spellStart"/>
      <w:r>
        <w:t>iNOS</w:t>
      </w:r>
      <w:proofErr w:type="spellEnd"/>
      <w:r>
        <w:t>) gene is one of three Nitric Oxide Synthase (NOS) genes (</w:t>
      </w:r>
      <w:proofErr w:type="spellStart"/>
      <w:r>
        <w:t>eNOS</w:t>
      </w:r>
      <w:proofErr w:type="spellEnd"/>
      <w:r>
        <w:t xml:space="preserve">, </w:t>
      </w:r>
      <w:proofErr w:type="spellStart"/>
      <w:r>
        <w:t>nNOS</w:t>
      </w:r>
      <w:proofErr w:type="spellEnd"/>
      <w:r>
        <w:t xml:space="preserve">, </w:t>
      </w:r>
      <w:proofErr w:type="spellStart"/>
      <w:r>
        <w:t>iNOS</w:t>
      </w:r>
      <w:proofErr w:type="spellEnd"/>
      <w:r>
        <w:t xml:space="preserve">)6 responsible for nitric oxide (NO) generation through L arginine oxidation and catalysed by the NOS enzymes.7 NO is a free radical and is associated with multiple biological functions.8 After tendon injury, NO is induced by all 3 NOS isoforms, with upregulated NOS activity reported in tendinopathy in both human and rat models.6 Research suggests that </w:t>
      </w:r>
      <w:proofErr w:type="spellStart"/>
      <w:r>
        <w:t>iNOS</w:t>
      </w:r>
      <w:proofErr w:type="spellEnd"/>
      <w:r>
        <w:t xml:space="preserve"> expression is elevated 23 fold higher than controls four days after Achilles tendon injury.9 Lin et al.9 suggest that </w:t>
      </w:r>
      <w:r>
        <w:lastRenderedPageBreak/>
        <w:t xml:space="preserve">NO catalysed by the </w:t>
      </w:r>
      <w:proofErr w:type="spellStart"/>
      <w:r>
        <w:t>iNOS</w:t>
      </w:r>
      <w:proofErr w:type="spellEnd"/>
      <w:r>
        <w:t xml:space="preserve"> isoform of NOS induces apoptosis in inﬂammatory cells to eradicate the cells from the damaged area, preventing chronic inﬂammation and allowing remodelling to occur.</w:t>
      </w:r>
    </w:p>
    <w:p w:rsidR="000740F2" w:rsidRDefault="000740F2" w:rsidP="000740F2">
      <w:r>
        <w:t xml:space="preserve">An </w:t>
      </w:r>
      <w:proofErr w:type="spellStart"/>
      <w:r>
        <w:t>iNOS</w:t>
      </w:r>
      <w:proofErr w:type="spellEnd"/>
      <w:r>
        <w:t xml:space="preserve"> gene transfection study demonstrated NO’s ability to enhance collagen synthesis in tendon cells in vitro.10 The increased collagen synthesis was inhibited when a NOS inhibitor was employed. The use of glyceryl trinitrate (GTN) patches containing NO, in conjunction with rehabilitation, has been studied in a randomised group of patients with Achilles tendinopathy in comparison to rehabilitation alone.11 It was observed that the addition of the GTN patch signiﬁcantly enhanced patient recovery, with 78% of tendons in the GTN group asymptomatic with daily activities as opposed to 49% in the placebo group (p = 0.001). The addition of GTN patches to patient rehabilitation resulted in reduce pain with activity, and patients presented with lower pain scores after performing a hop test.</w:t>
      </w:r>
    </w:p>
    <w:p w:rsidR="000740F2" w:rsidRDefault="000740F2" w:rsidP="000740F2">
      <w:r>
        <w:t xml:space="preserve">In a rat healing model, the administration of NO paracetamol vs two control groups (paracetamol group and a vehicle group) was investigated.12 Paracetamol had no effect on healing when compared to the vehicle group. NO paracetamol vs paracetamol alone displayed similar failure loads, however, secondary end- points of Achilles tendon healing differed between the two groups. At day 10 postoperatively, the NO paracetamol group displayed a smaller </w:t>
      </w:r>
      <w:proofErr w:type="gramStart"/>
      <w:r>
        <w:t>cross sectional</w:t>
      </w:r>
      <w:proofErr w:type="gramEnd"/>
      <w:r>
        <w:t xml:space="preserve"> area, a greater dry weight and lesser wet weight, a larger collagen content and better organization of </w:t>
      </w:r>
      <w:proofErr w:type="spellStart"/>
      <w:r>
        <w:t>colla</w:t>
      </w:r>
      <w:proofErr w:type="spellEnd"/>
      <w:r>
        <w:t>- gen, suggesting the addition of NO increased collagen synthesis and encouraged collagen reorganisation12.</w:t>
      </w:r>
    </w:p>
    <w:p w:rsidR="000740F2" w:rsidRDefault="000740F2" w:rsidP="000740F2">
      <w:r>
        <w:t xml:space="preserve">Two </w:t>
      </w:r>
      <w:proofErr w:type="spellStart"/>
      <w:r>
        <w:t>iNOS</w:t>
      </w:r>
      <w:proofErr w:type="spellEnd"/>
      <w:r>
        <w:t xml:space="preserve"> single nucleotide polymorphisms (SNPs) rs2779249 (C/A) and rs2248814 (A/G) were of interest for this study. These variants are situated within the </w:t>
      </w:r>
      <w:proofErr w:type="spellStart"/>
      <w:r>
        <w:t>iNOS</w:t>
      </w:r>
      <w:proofErr w:type="spellEnd"/>
      <w:r>
        <w:t xml:space="preserve"> gene and its </w:t>
      </w:r>
      <w:proofErr w:type="gramStart"/>
      <w:r>
        <w:t>5,  ﬂanking</w:t>
      </w:r>
      <w:proofErr w:type="gramEnd"/>
      <w:r>
        <w:t xml:space="preserve"> region on chromosome 17. The rs2779249 SNP is a functional variant 1026 bp upstream of the promoter region.13 The C allele leads to  a 4.73 fold lower transcriptional activity of the promoter compared to the A allele.14 The rs2248814 SNP resides 28,260 bp downstream of the rs2779249 SNP within the intronic region ﬂanked by exons 12 and 13. The rs2248814 SNP has been linked to impaired fracture healing.15 </w:t>
      </w:r>
      <w:proofErr w:type="spellStart"/>
      <w:r>
        <w:t>Sathyendra</w:t>
      </w:r>
      <w:proofErr w:type="spellEnd"/>
      <w:r>
        <w:t xml:space="preserve"> et al.15 looked at sixty two patients with long bone fractures, thirty three presenting with an atrophic </w:t>
      </w:r>
      <w:proofErr w:type="spellStart"/>
      <w:r>
        <w:t>nonunion</w:t>
      </w:r>
      <w:proofErr w:type="spellEnd"/>
      <w:r>
        <w:t xml:space="preserve"> (case group) and twenty nine showing uneventful fracture union (control group). The G allele was found to associate with more than</w:t>
      </w:r>
    </w:p>
    <w:p w:rsidR="000740F2" w:rsidRDefault="000740F2" w:rsidP="000740F2">
      <w:r>
        <w:t>twice the risk of non-union after fracture.15</w:t>
      </w:r>
    </w:p>
    <w:p w:rsidR="000740F2" w:rsidRDefault="000740F2" w:rsidP="000740F2">
      <w:r>
        <w:t xml:space="preserve">As NO plays an important role in collagen homeostasis within the tendon, we hypothesised that genetic variability in NO synthesising genes like </w:t>
      </w:r>
      <w:proofErr w:type="spellStart"/>
      <w:r>
        <w:t>iNOS</w:t>
      </w:r>
      <w:proofErr w:type="spellEnd"/>
      <w:r>
        <w:t xml:space="preserve"> could impact on the risk of tendon injuries. In order to test this hypothesis, we investigated the two SNPs in a British case control population.</w:t>
      </w:r>
    </w:p>
    <w:p w:rsidR="000740F2" w:rsidRPr="00774E83" w:rsidRDefault="000740F2" w:rsidP="000740F2">
      <w:pPr>
        <w:rPr>
          <w:b/>
        </w:rPr>
      </w:pPr>
      <w:r w:rsidRPr="000740F2">
        <w:rPr>
          <w:b/>
        </w:rPr>
        <w:t>Methods</w:t>
      </w:r>
    </w:p>
    <w:p w:rsidR="000740F2" w:rsidRDefault="000740F2" w:rsidP="000740F2">
      <w:r>
        <w:t xml:space="preserve">145 Caucasian case (ATP) subjects (56 females, 89 males) were originally recruited from the County Clinic, Northampton. The subjects’ pathologies were diagnosed using published criteria pre- </w:t>
      </w:r>
      <w:proofErr w:type="spellStart"/>
      <w:r>
        <w:t>viously</w:t>
      </w:r>
      <w:proofErr w:type="spellEnd"/>
      <w:r>
        <w:t xml:space="preserve"> described for this cohort and assessed by the clinical author (WJR).16 This was based on clinical assessment and conﬁrmed with the appropriate imaging modalities. Those patients considered for certain management techniques, such as high-volume stripping, or for conﬁrmation of rupture underwent ultrasound. Others under- went MRI analysis. For the purpose of our study, the cohort was subdivided into a rupture subset and a chronic tendinopathy sub- set. For clinical management, the patients were further subdivided into complete ruptures, partial ruptures, tendinosis, and para- tendinopathy, however, these are outside the scope of this paper.</w:t>
      </w:r>
    </w:p>
    <w:p w:rsidR="000740F2" w:rsidRDefault="000740F2" w:rsidP="000740F2">
      <w:r>
        <w:lastRenderedPageBreak/>
        <w:t>We used the abbreviation ATP to describe a set of combined Achilles tendon pathologies. Speciﬁcally, the ATP case participant group consisted of an Achilles tendinopathy subset (TEN) (n = 103) and an Achilles rupture subset (RUP) (n = 42). The RUP subset included subjects with partial or complete ruptures to the Achilles tendon. Full details of the speciﬁc pathological deﬁnitions for this cohort have previously been published.17 In addition to the cases, 132 asymptomatic, healthy, Caucasian control (CON) participants (49 female, 83 male) were recruited from various sports clubs within the East Midlands region of the United Kingdom.</w:t>
      </w:r>
    </w:p>
    <w:p w:rsidR="000740F2" w:rsidRDefault="000740F2" w:rsidP="000740F2">
      <w:r>
        <w:t xml:space="preserve">DNA from all participants was isolated as described in our previous study.16 For this study were analysed those same samples using TaqMan® SNP genotyping probes, along with speciﬁc forward and reverse primers, for the </w:t>
      </w:r>
      <w:proofErr w:type="spellStart"/>
      <w:r>
        <w:t>iNOS</w:t>
      </w:r>
      <w:proofErr w:type="spellEnd"/>
      <w:r>
        <w:t xml:space="preserve"> gene rs2779249 and rs2248814 SNPs. Each reaction contained 10 ng of DNA and each PCR plate</w:t>
      </w:r>
    </w:p>
    <w:p w:rsidR="000740F2" w:rsidRDefault="000740F2" w:rsidP="000740F2">
      <w:r>
        <w:t xml:space="preserve">contained both positive (repeated samples) and negative (non-template) controls. Following a holding phase at 95 ◦C for 10 min, PCR runs consisted of 40 cycles of a denaturing stage at 92 ◦C for 15 s and a ﬁnal annealing stage at 60 ◦C for 1 min. Genotypes for each sample were determined by end point ﬂuorescence and called using </w:t>
      </w:r>
      <w:proofErr w:type="spellStart"/>
      <w:r>
        <w:t>StepOne</w:t>
      </w:r>
      <w:proofErr w:type="spellEnd"/>
      <w:r>
        <w:t xml:space="preserve"> software v2.1.</w:t>
      </w:r>
    </w:p>
    <w:p w:rsidR="000740F2" w:rsidRDefault="000740F2" w:rsidP="000740F2">
      <w:r>
        <w:t>IBM SPSS Statistics version 22 (IBM Corporation, Armonk, New York) was used to carry out independent T tests on the participants characteristics (age, BMI, height and weight) between the ATP and CON groups, alongside analysis of variance (ANOVA) to determine whether anthropometric data interacted with genotype for both the ATP and CON groups. Pearson’s Chi square analysis or Fisher’s exact test were used to assess differences between allele and genotype distributions for both the rs2779249 and rs2248814 variants within the ATP and CON groups. A similar analysis was conducted to establish whether any associations were speciﬁc to just tendinopathy (TEN) and/or rupture (RUP) (as opposed to the collective pathology of ATP). We also tested whether sex interacted with genotype.</w:t>
      </w:r>
    </w:p>
    <w:p w:rsidR="000740F2" w:rsidRDefault="000740F2" w:rsidP="000740F2">
      <w:r>
        <w:t xml:space="preserve">We used the </w:t>
      </w:r>
      <w:proofErr w:type="spellStart"/>
      <w:r>
        <w:t>SNPStats</w:t>
      </w:r>
      <w:proofErr w:type="spellEnd"/>
      <w:r>
        <w:t xml:space="preserve"> online analysis software (available at https://www.snpstats.net/start.htm) to establish whether alleles at either of the two loci investigated deviated from Hardy Weinberg equilibrium (HWE). Inferred haplotype analysis showing estimated relative frequency was also carried out. Haplotype frequencies were measured using an expectation maximisation algorithm. Further details on the software package and the type of analysis conducted has been published.18</w:t>
      </w:r>
    </w:p>
    <w:p w:rsidR="000740F2" w:rsidRDefault="000740F2" w:rsidP="000740F2">
      <w:r>
        <w:t xml:space="preserve">Using the </w:t>
      </w:r>
      <w:proofErr w:type="spellStart"/>
      <w:r>
        <w:t>Quanto</w:t>
      </w:r>
      <w:proofErr w:type="spellEnd"/>
      <w:r>
        <w:t xml:space="preserve"> power software (available at http://biostats. usc.edu/</w:t>
      </w:r>
      <w:proofErr w:type="spellStart"/>
      <w:r>
        <w:t>cgi</w:t>
      </w:r>
      <w:proofErr w:type="spellEnd"/>
      <w:r>
        <w:t>-bin/DownloadQuanto.pl) we calculated that our study would have 81% power to detect associations at the 0.05 level of signiﬁcance. All p values reported were unadjusted based on the rationale presented in our previous studies.19</w:t>
      </w:r>
    </w:p>
    <w:p w:rsidR="000740F2" w:rsidRDefault="000740F2" w:rsidP="000740F2">
      <w:r>
        <w:t>All experimental protocols received ethical approval from the Research Ethics Committee of the Faculty of Health and Society within the University of Northampton, UK. All subjects provided their written informed consent, in accordance with the Declaration of Helsinki, alongside the completion of an extensive medical history questionnaire.</w:t>
      </w:r>
    </w:p>
    <w:p w:rsidR="000740F2" w:rsidRPr="00774E83" w:rsidRDefault="000740F2" w:rsidP="000740F2">
      <w:pPr>
        <w:rPr>
          <w:b/>
        </w:rPr>
      </w:pPr>
      <w:r w:rsidRPr="000740F2">
        <w:rPr>
          <w:b/>
        </w:rPr>
        <w:t>Results</w:t>
      </w:r>
    </w:p>
    <w:p w:rsidR="000740F2" w:rsidRDefault="000740F2" w:rsidP="000740F2">
      <w:r>
        <w:t xml:space="preserve">There were no statistical differences between the ATP and CON groups in relation to age, (p = 0.264), height (p = 0.067), weight (p = 0.370), and BMI (p = 0.736). The ATP group ages were </w:t>
      </w:r>
      <w:proofErr w:type="spellStart"/>
      <w:r>
        <w:t>self reported</w:t>
      </w:r>
      <w:proofErr w:type="spellEnd"/>
      <w:r>
        <w:t xml:space="preserve"> age at onset of symptoms. There were no anthropometric interactions with the </w:t>
      </w:r>
      <w:proofErr w:type="spellStart"/>
      <w:r>
        <w:t>iNOS</w:t>
      </w:r>
      <w:proofErr w:type="spellEnd"/>
      <w:r>
        <w:t xml:space="preserve"> rs2779249 genotypes (Table 1a); height, CON (p = 0.183), ATP (p = 0.129); weight, CON (p = 0.175), ATP (p = 0.886); age, CON (p = 0.311), ATP (p = 0.606); BMI, CON</w:t>
      </w:r>
    </w:p>
    <w:p w:rsidR="000740F2" w:rsidRDefault="000740F2" w:rsidP="000740F2">
      <w:r>
        <w:lastRenderedPageBreak/>
        <w:t xml:space="preserve">(p = 0.330), ATP (p = 0.843). The </w:t>
      </w:r>
      <w:proofErr w:type="spellStart"/>
      <w:r>
        <w:t>iNOS</w:t>
      </w:r>
      <w:proofErr w:type="spellEnd"/>
      <w:r>
        <w:t xml:space="preserve"> rs2248814 genotypes did not associate with weight (Table 1b), CON (p = 0.110), ATP (p = 0.492); age, CON (p = 0.085), ATP (p = 0.713); BMI, CON (p = 0.548</w:t>
      </w:r>
      <w:proofErr w:type="gramStart"/>
      <w:r>
        <w:t>),  ATP</w:t>
      </w:r>
      <w:proofErr w:type="gramEnd"/>
      <w:r>
        <w:t>;</w:t>
      </w:r>
    </w:p>
    <w:p w:rsidR="000740F2" w:rsidRDefault="000740F2" w:rsidP="000740F2">
      <w:r>
        <w:t xml:space="preserve">(p = 0.440), however the </w:t>
      </w:r>
      <w:proofErr w:type="spellStart"/>
      <w:r>
        <w:t>iNOS</w:t>
      </w:r>
      <w:proofErr w:type="spellEnd"/>
      <w:r>
        <w:t xml:space="preserve"> rs</w:t>
      </w:r>
      <w:proofErr w:type="gramStart"/>
      <w:r>
        <w:t>2248814  AG</w:t>
      </w:r>
      <w:proofErr w:type="gramEnd"/>
      <w:r>
        <w:t xml:space="preserve">  genotype  associated with height (p = 0.029) in the CON group, but not the ATP group (p = 0.915). This variant however, did not associate with ATP, tendinopathy or rupture.</w:t>
      </w:r>
    </w:p>
    <w:p w:rsidR="000740F2" w:rsidRDefault="000740F2" w:rsidP="000740F2">
      <w:r>
        <w:t>Table 1</w:t>
      </w:r>
    </w:p>
    <w:p w:rsidR="000740F2" w:rsidRDefault="000740F2" w:rsidP="000740F2">
      <w:r>
        <w:t>R</w:t>
      </w:r>
      <w:r w:rsidRPr="000740F2">
        <w:t xml:space="preserve">epresents the participant characteristic ANOVA results for the </w:t>
      </w:r>
      <w:proofErr w:type="spellStart"/>
      <w:r w:rsidRPr="000740F2">
        <w:t>iNOS</w:t>
      </w:r>
      <w:proofErr w:type="spellEnd"/>
      <w:r w:rsidRPr="000740F2">
        <w:t xml:space="preserve"> rs2779249 variant and </w:t>
      </w:r>
      <w:proofErr w:type="spellStart"/>
      <w:r w:rsidRPr="000740F2">
        <w:t>iNOS</w:t>
      </w:r>
      <w:proofErr w:type="spellEnd"/>
      <w:r w:rsidRPr="000740F2">
        <w:t xml:space="preserve"> rs2248814 variant, stratiﬁed according to genotype. Signiﬁcance was accepted when p &lt; 0.05. cm: centimetres; kg: kilogrammes; m: metres.</w:t>
      </w:r>
    </w:p>
    <w:p w:rsidR="000740F2" w:rsidRDefault="000740F2" w:rsidP="000740F2">
      <w:r w:rsidRPr="000740F2">
        <w:t xml:space="preserve">Table 1a: Characteristics of the entire CON and ATP participant groups for the </w:t>
      </w:r>
      <w:proofErr w:type="spellStart"/>
      <w:r w:rsidRPr="000740F2">
        <w:t>iNOS</w:t>
      </w:r>
      <w:proofErr w:type="spellEnd"/>
      <w:r w:rsidRPr="000740F2">
        <w:t xml:space="preserve"> variant rs2779249 using one-way ANOVA analysis stratiﬁed according to genotype.</w:t>
      </w:r>
    </w:p>
    <w:p w:rsidR="000740F2" w:rsidRDefault="000740F2" w:rsidP="000740F2"/>
    <w:tbl>
      <w:tblPr>
        <w:tblW w:w="10420" w:type="dxa"/>
        <w:tblInd w:w="-692" w:type="dxa"/>
        <w:tblLayout w:type="fixed"/>
        <w:tblCellMar>
          <w:left w:w="0" w:type="dxa"/>
          <w:right w:w="0" w:type="dxa"/>
        </w:tblCellMar>
        <w:tblLook w:val="01E0" w:firstRow="1" w:lastRow="1" w:firstColumn="1" w:lastColumn="1" w:noHBand="0" w:noVBand="0"/>
      </w:tblPr>
      <w:tblGrid>
        <w:gridCol w:w="120"/>
        <w:gridCol w:w="1228"/>
        <w:gridCol w:w="1793"/>
        <w:gridCol w:w="899"/>
        <w:gridCol w:w="1343"/>
        <w:gridCol w:w="885"/>
        <w:gridCol w:w="907"/>
        <w:gridCol w:w="894"/>
        <w:gridCol w:w="1343"/>
        <w:gridCol w:w="889"/>
        <w:gridCol w:w="119"/>
      </w:tblGrid>
      <w:tr w:rsidR="000740F2" w:rsidTr="000740F2">
        <w:trPr>
          <w:trHeight w:val="272"/>
        </w:trPr>
        <w:tc>
          <w:tcPr>
            <w:tcW w:w="120" w:type="dxa"/>
            <w:vMerge w:val="restart"/>
            <w:tcBorders>
              <w:bottom w:val="single" w:sz="4" w:space="0" w:color="231F20"/>
            </w:tcBorders>
          </w:tcPr>
          <w:p w:rsidR="000740F2" w:rsidRDefault="000740F2" w:rsidP="00DC0FB2">
            <w:pPr>
              <w:pStyle w:val="TableParagraph"/>
              <w:rPr>
                <w:rFonts w:ascii="Times New Roman"/>
                <w:sz w:val="14"/>
              </w:rPr>
            </w:pPr>
          </w:p>
        </w:tc>
        <w:tc>
          <w:tcPr>
            <w:tcW w:w="1228" w:type="dxa"/>
            <w:tcBorders>
              <w:top w:val="single" w:sz="4" w:space="0" w:color="231F20"/>
            </w:tcBorders>
          </w:tcPr>
          <w:p w:rsidR="000740F2" w:rsidRDefault="000740F2" w:rsidP="00DC0FB2">
            <w:pPr>
              <w:pStyle w:val="TableParagraph"/>
              <w:spacing w:before="55"/>
              <w:ind w:left="-1"/>
              <w:rPr>
                <w:sz w:val="12"/>
              </w:rPr>
            </w:pPr>
            <w:r>
              <w:rPr>
                <w:color w:val="231F20"/>
                <w:w w:val="125"/>
                <w:sz w:val="12"/>
              </w:rPr>
              <w:t>rs2779249</w:t>
            </w:r>
          </w:p>
        </w:tc>
        <w:tc>
          <w:tcPr>
            <w:tcW w:w="1793" w:type="dxa"/>
            <w:tcBorders>
              <w:top w:val="single" w:sz="4" w:space="0" w:color="231F20"/>
            </w:tcBorders>
          </w:tcPr>
          <w:p w:rsidR="000740F2" w:rsidRDefault="000740F2" w:rsidP="00DC0FB2">
            <w:pPr>
              <w:pStyle w:val="TableParagraph"/>
              <w:rPr>
                <w:rFonts w:ascii="Times New Roman"/>
                <w:sz w:val="14"/>
              </w:rPr>
            </w:pPr>
          </w:p>
        </w:tc>
        <w:tc>
          <w:tcPr>
            <w:tcW w:w="899" w:type="dxa"/>
            <w:tcBorders>
              <w:top w:val="single" w:sz="4" w:space="0" w:color="231F20"/>
              <w:bottom w:val="single" w:sz="4" w:space="0" w:color="231F20"/>
            </w:tcBorders>
          </w:tcPr>
          <w:p w:rsidR="000740F2" w:rsidRDefault="000740F2" w:rsidP="00DC0FB2">
            <w:pPr>
              <w:pStyle w:val="TableParagraph"/>
              <w:spacing w:before="55"/>
              <w:ind w:left="-2"/>
              <w:rPr>
                <w:sz w:val="12"/>
              </w:rPr>
            </w:pPr>
            <w:r>
              <w:rPr>
                <w:color w:val="231F20"/>
                <w:sz w:val="12"/>
              </w:rPr>
              <w:t>CON</w:t>
            </w:r>
          </w:p>
        </w:tc>
        <w:tc>
          <w:tcPr>
            <w:tcW w:w="1343" w:type="dxa"/>
            <w:tcBorders>
              <w:top w:val="single" w:sz="4" w:space="0" w:color="231F20"/>
              <w:bottom w:val="single" w:sz="4" w:space="0" w:color="231F20"/>
            </w:tcBorders>
          </w:tcPr>
          <w:p w:rsidR="000740F2" w:rsidRDefault="000740F2" w:rsidP="00DC0FB2">
            <w:pPr>
              <w:pStyle w:val="TableParagraph"/>
              <w:rPr>
                <w:rFonts w:ascii="Times New Roman"/>
                <w:sz w:val="14"/>
              </w:rPr>
            </w:pPr>
          </w:p>
        </w:tc>
        <w:tc>
          <w:tcPr>
            <w:tcW w:w="885" w:type="dxa"/>
            <w:tcBorders>
              <w:top w:val="single" w:sz="4" w:space="0" w:color="231F20"/>
              <w:bottom w:val="single" w:sz="4" w:space="0" w:color="231F20"/>
            </w:tcBorders>
          </w:tcPr>
          <w:p w:rsidR="000740F2" w:rsidRDefault="000740F2" w:rsidP="00DC0FB2">
            <w:pPr>
              <w:pStyle w:val="TableParagraph"/>
              <w:rPr>
                <w:rFonts w:ascii="Times New Roman"/>
                <w:sz w:val="14"/>
              </w:rPr>
            </w:pPr>
          </w:p>
        </w:tc>
        <w:tc>
          <w:tcPr>
            <w:tcW w:w="907" w:type="dxa"/>
            <w:tcBorders>
              <w:top w:val="single" w:sz="4" w:space="0" w:color="231F20"/>
            </w:tcBorders>
          </w:tcPr>
          <w:p w:rsidR="000740F2" w:rsidRDefault="000740F2" w:rsidP="00DC0FB2">
            <w:pPr>
              <w:pStyle w:val="TableParagraph"/>
              <w:rPr>
                <w:rFonts w:ascii="Times New Roman"/>
                <w:sz w:val="14"/>
              </w:rPr>
            </w:pPr>
          </w:p>
        </w:tc>
        <w:tc>
          <w:tcPr>
            <w:tcW w:w="894" w:type="dxa"/>
            <w:tcBorders>
              <w:top w:val="single" w:sz="4" w:space="0" w:color="231F20"/>
              <w:bottom w:val="single" w:sz="4" w:space="0" w:color="231F20"/>
            </w:tcBorders>
          </w:tcPr>
          <w:p w:rsidR="000740F2" w:rsidRDefault="000740F2" w:rsidP="00DC0FB2">
            <w:pPr>
              <w:pStyle w:val="TableParagraph"/>
              <w:spacing w:before="55"/>
              <w:ind w:left="-1"/>
              <w:rPr>
                <w:sz w:val="12"/>
              </w:rPr>
            </w:pPr>
            <w:r>
              <w:rPr>
                <w:color w:val="231F20"/>
                <w:sz w:val="12"/>
              </w:rPr>
              <w:t>ATP</w:t>
            </w:r>
          </w:p>
        </w:tc>
        <w:tc>
          <w:tcPr>
            <w:tcW w:w="2351" w:type="dxa"/>
            <w:gridSpan w:val="3"/>
            <w:tcBorders>
              <w:top w:val="single" w:sz="4" w:space="0" w:color="231F20"/>
            </w:tcBorders>
          </w:tcPr>
          <w:p w:rsidR="000740F2" w:rsidRDefault="000740F2" w:rsidP="00DC0FB2">
            <w:pPr>
              <w:pStyle w:val="TableParagraph"/>
              <w:rPr>
                <w:rFonts w:ascii="Times New Roman"/>
                <w:sz w:val="14"/>
              </w:rPr>
            </w:pPr>
          </w:p>
        </w:tc>
      </w:tr>
      <w:tr w:rsidR="000740F2" w:rsidTr="000740F2">
        <w:trPr>
          <w:trHeight w:val="250"/>
        </w:trPr>
        <w:tc>
          <w:tcPr>
            <w:tcW w:w="120" w:type="dxa"/>
            <w:vMerge/>
            <w:tcBorders>
              <w:top w:val="nil"/>
              <w:bottom w:val="single" w:sz="4" w:space="0" w:color="231F20"/>
            </w:tcBorders>
          </w:tcPr>
          <w:p w:rsidR="000740F2" w:rsidRDefault="000740F2" w:rsidP="00DC0FB2">
            <w:pPr>
              <w:rPr>
                <w:sz w:val="2"/>
                <w:szCs w:val="2"/>
              </w:rPr>
            </w:pPr>
          </w:p>
        </w:tc>
        <w:tc>
          <w:tcPr>
            <w:tcW w:w="1228" w:type="dxa"/>
            <w:tcBorders>
              <w:bottom w:val="single" w:sz="4" w:space="0" w:color="231F20"/>
            </w:tcBorders>
          </w:tcPr>
          <w:p w:rsidR="000740F2" w:rsidRDefault="000740F2" w:rsidP="00DC0FB2">
            <w:pPr>
              <w:pStyle w:val="TableParagraph"/>
              <w:rPr>
                <w:rFonts w:ascii="Times New Roman"/>
                <w:sz w:val="14"/>
              </w:rPr>
            </w:pPr>
          </w:p>
        </w:tc>
        <w:tc>
          <w:tcPr>
            <w:tcW w:w="1793" w:type="dxa"/>
            <w:tcBorders>
              <w:bottom w:val="single" w:sz="4" w:space="0" w:color="231F20"/>
            </w:tcBorders>
          </w:tcPr>
          <w:p w:rsidR="000740F2" w:rsidRDefault="000740F2" w:rsidP="00DC0FB2">
            <w:pPr>
              <w:pStyle w:val="TableParagraph"/>
              <w:rPr>
                <w:rFonts w:ascii="Times New Roman"/>
                <w:sz w:val="14"/>
              </w:rPr>
            </w:pPr>
          </w:p>
        </w:tc>
        <w:tc>
          <w:tcPr>
            <w:tcW w:w="899" w:type="dxa"/>
            <w:tcBorders>
              <w:top w:val="single" w:sz="4" w:space="0" w:color="231F20"/>
              <w:bottom w:val="single" w:sz="4" w:space="0" w:color="231F20"/>
            </w:tcBorders>
          </w:tcPr>
          <w:p w:rsidR="000740F2" w:rsidRDefault="000740F2" w:rsidP="00DC0FB2">
            <w:pPr>
              <w:pStyle w:val="TableParagraph"/>
              <w:spacing w:before="55"/>
              <w:ind w:left="-2"/>
              <w:rPr>
                <w:sz w:val="12"/>
              </w:rPr>
            </w:pPr>
            <w:r>
              <w:rPr>
                <w:color w:val="231F20"/>
                <w:sz w:val="12"/>
              </w:rPr>
              <w:t>AA</w:t>
            </w:r>
          </w:p>
        </w:tc>
        <w:tc>
          <w:tcPr>
            <w:tcW w:w="1343" w:type="dxa"/>
            <w:tcBorders>
              <w:top w:val="single" w:sz="4" w:space="0" w:color="231F20"/>
              <w:bottom w:val="single" w:sz="4" w:space="0" w:color="231F20"/>
            </w:tcBorders>
          </w:tcPr>
          <w:p w:rsidR="000740F2" w:rsidRDefault="000740F2" w:rsidP="00DC0FB2">
            <w:pPr>
              <w:pStyle w:val="TableParagraph"/>
              <w:spacing w:before="55"/>
              <w:ind w:left="444"/>
              <w:rPr>
                <w:sz w:val="12"/>
              </w:rPr>
            </w:pPr>
            <w:r>
              <w:rPr>
                <w:color w:val="231F20"/>
                <w:sz w:val="12"/>
              </w:rPr>
              <w:t>AC</w:t>
            </w:r>
          </w:p>
        </w:tc>
        <w:tc>
          <w:tcPr>
            <w:tcW w:w="885" w:type="dxa"/>
            <w:tcBorders>
              <w:top w:val="single" w:sz="4" w:space="0" w:color="231F20"/>
              <w:bottom w:val="single" w:sz="4" w:space="0" w:color="231F20"/>
            </w:tcBorders>
          </w:tcPr>
          <w:p w:rsidR="000740F2" w:rsidRDefault="000740F2" w:rsidP="00DC0FB2">
            <w:pPr>
              <w:pStyle w:val="TableParagraph"/>
              <w:spacing w:before="55"/>
              <w:ind w:left="446"/>
              <w:rPr>
                <w:sz w:val="12"/>
              </w:rPr>
            </w:pPr>
            <w:r>
              <w:rPr>
                <w:color w:val="231F20"/>
                <w:sz w:val="12"/>
              </w:rPr>
              <w:t>CC</w:t>
            </w:r>
          </w:p>
        </w:tc>
        <w:tc>
          <w:tcPr>
            <w:tcW w:w="907" w:type="dxa"/>
            <w:tcBorders>
              <w:bottom w:val="single" w:sz="4" w:space="0" w:color="231F20"/>
            </w:tcBorders>
          </w:tcPr>
          <w:p w:rsidR="000740F2" w:rsidRDefault="000740F2" w:rsidP="00DC0FB2">
            <w:pPr>
              <w:pStyle w:val="TableParagraph"/>
              <w:rPr>
                <w:rFonts w:ascii="Times New Roman"/>
                <w:sz w:val="14"/>
              </w:rPr>
            </w:pPr>
          </w:p>
        </w:tc>
        <w:tc>
          <w:tcPr>
            <w:tcW w:w="894" w:type="dxa"/>
            <w:tcBorders>
              <w:top w:val="single" w:sz="4" w:space="0" w:color="231F20"/>
              <w:bottom w:val="single" w:sz="4" w:space="0" w:color="231F20"/>
            </w:tcBorders>
          </w:tcPr>
          <w:p w:rsidR="000740F2" w:rsidRDefault="000740F2" w:rsidP="00DC0FB2">
            <w:pPr>
              <w:pStyle w:val="TableParagraph"/>
              <w:spacing w:before="55"/>
              <w:ind w:left="-1"/>
              <w:rPr>
                <w:sz w:val="12"/>
              </w:rPr>
            </w:pPr>
            <w:r>
              <w:rPr>
                <w:color w:val="231F20"/>
                <w:sz w:val="12"/>
              </w:rPr>
              <w:t>AA</w:t>
            </w:r>
          </w:p>
        </w:tc>
        <w:tc>
          <w:tcPr>
            <w:tcW w:w="1343" w:type="dxa"/>
            <w:tcBorders>
              <w:top w:val="single" w:sz="4" w:space="0" w:color="231F20"/>
              <w:bottom w:val="single" w:sz="4" w:space="0" w:color="231F20"/>
            </w:tcBorders>
          </w:tcPr>
          <w:p w:rsidR="000740F2" w:rsidRDefault="000740F2" w:rsidP="00DC0FB2">
            <w:pPr>
              <w:pStyle w:val="TableParagraph"/>
              <w:spacing w:before="55"/>
              <w:ind w:left="449"/>
              <w:rPr>
                <w:sz w:val="12"/>
              </w:rPr>
            </w:pPr>
            <w:r>
              <w:rPr>
                <w:color w:val="231F20"/>
                <w:sz w:val="12"/>
              </w:rPr>
              <w:t>AC</w:t>
            </w:r>
          </w:p>
        </w:tc>
        <w:tc>
          <w:tcPr>
            <w:tcW w:w="889" w:type="dxa"/>
            <w:tcBorders>
              <w:top w:val="single" w:sz="4" w:space="0" w:color="231F20"/>
              <w:bottom w:val="single" w:sz="4" w:space="0" w:color="231F20"/>
            </w:tcBorders>
          </w:tcPr>
          <w:p w:rsidR="000740F2" w:rsidRDefault="000740F2" w:rsidP="00DC0FB2">
            <w:pPr>
              <w:pStyle w:val="TableParagraph"/>
              <w:spacing w:before="55"/>
              <w:ind w:left="451"/>
              <w:rPr>
                <w:sz w:val="12"/>
              </w:rPr>
            </w:pPr>
            <w:r>
              <w:rPr>
                <w:color w:val="231F20"/>
                <w:sz w:val="12"/>
              </w:rPr>
              <w:t>CC</w:t>
            </w:r>
          </w:p>
        </w:tc>
        <w:tc>
          <w:tcPr>
            <w:tcW w:w="119" w:type="dxa"/>
            <w:tcBorders>
              <w:bottom w:val="single" w:sz="4" w:space="0" w:color="231F20"/>
            </w:tcBorders>
          </w:tcPr>
          <w:p w:rsidR="000740F2" w:rsidRDefault="000740F2" w:rsidP="00DC0FB2">
            <w:pPr>
              <w:pStyle w:val="TableParagraph"/>
              <w:rPr>
                <w:rFonts w:ascii="Times New Roman"/>
                <w:sz w:val="14"/>
              </w:rPr>
            </w:pPr>
          </w:p>
        </w:tc>
      </w:tr>
      <w:tr w:rsidR="000740F2" w:rsidTr="000740F2">
        <w:trPr>
          <w:trHeight w:val="211"/>
        </w:trPr>
        <w:tc>
          <w:tcPr>
            <w:tcW w:w="120" w:type="dxa"/>
            <w:tcBorders>
              <w:top w:val="single" w:sz="4" w:space="0" w:color="231F20"/>
            </w:tcBorders>
          </w:tcPr>
          <w:p w:rsidR="000740F2" w:rsidRDefault="000740F2" w:rsidP="00DC0FB2">
            <w:pPr>
              <w:pStyle w:val="TableParagraph"/>
              <w:rPr>
                <w:rFonts w:ascii="Times New Roman"/>
                <w:sz w:val="14"/>
              </w:rPr>
            </w:pPr>
          </w:p>
        </w:tc>
        <w:tc>
          <w:tcPr>
            <w:tcW w:w="1228" w:type="dxa"/>
            <w:tcBorders>
              <w:top w:val="single" w:sz="4" w:space="0" w:color="231F20"/>
            </w:tcBorders>
          </w:tcPr>
          <w:p w:rsidR="000740F2" w:rsidRDefault="000740F2" w:rsidP="00DC0FB2">
            <w:pPr>
              <w:pStyle w:val="TableParagraph"/>
              <w:spacing w:before="57" w:line="134" w:lineRule="exact"/>
              <w:ind w:left="-1"/>
              <w:rPr>
                <w:sz w:val="12"/>
              </w:rPr>
            </w:pPr>
            <w:r>
              <w:rPr>
                <w:color w:val="231F20"/>
                <w:w w:val="115"/>
                <w:sz w:val="12"/>
              </w:rPr>
              <w:t>Age (years)</w:t>
            </w:r>
          </w:p>
        </w:tc>
        <w:tc>
          <w:tcPr>
            <w:tcW w:w="1793" w:type="dxa"/>
            <w:tcBorders>
              <w:top w:val="single" w:sz="4" w:space="0" w:color="231F20"/>
            </w:tcBorders>
          </w:tcPr>
          <w:p w:rsidR="000740F2" w:rsidRDefault="000740F2" w:rsidP="00DC0FB2">
            <w:pPr>
              <w:pStyle w:val="TableParagraph"/>
              <w:spacing w:before="57" w:line="134" w:lineRule="exact"/>
              <w:ind w:left="446"/>
              <w:rPr>
                <w:sz w:val="12"/>
              </w:rPr>
            </w:pPr>
            <w:r>
              <w:rPr>
                <w:color w:val="231F20"/>
                <w:w w:val="97"/>
                <w:sz w:val="12"/>
              </w:rPr>
              <w:t>N</w:t>
            </w:r>
          </w:p>
        </w:tc>
        <w:tc>
          <w:tcPr>
            <w:tcW w:w="899" w:type="dxa"/>
            <w:tcBorders>
              <w:top w:val="single" w:sz="4" w:space="0" w:color="231F20"/>
            </w:tcBorders>
          </w:tcPr>
          <w:p w:rsidR="000740F2" w:rsidRDefault="000740F2" w:rsidP="00DC0FB2">
            <w:pPr>
              <w:pStyle w:val="TableParagraph"/>
              <w:spacing w:before="57" w:line="134" w:lineRule="exact"/>
              <w:ind w:left="-2"/>
              <w:rPr>
                <w:sz w:val="12"/>
              </w:rPr>
            </w:pPr>
            <w:r>
              <w:rPr>
                <w:color w:val="231F20"/>
                <w:w w:val="127"/>
                <w:sz w:val="12"/>
              </w:rPr>
              <w:t>9</w:t>
            </w:r>
          </w:p>
        </w:tc>
        <w:tc>
          <w:tcPr>
            <w:tcW w:w="1343" w:type="dxa"/>
            <w:tcBorders>
              <w:top w:val="single" w:sz="4" w:space="0" w:color="231F20"/>
            </w:tcBorders>
          </w:tcPr>
          <w:p w:rsidR="000740F2" w:rsidRDefault="000740F2" w:rsidP="00DC0FB2">
            <w:pPr>
              <w:pStyle w:val="TableParagraph"/>
              <w:spacing w:before="57" w:line="134" w:lineRule="exact"/>
              <w:ind w:left="444"/>
              <w:rPr>
                <w:sz w:val="12"/>
              </w:rPr>
            </w:pPr>
            <w:r>
              <w:rPr>
                <w:color w:val="231F20"/>
                <w:w w:val="130"/>
                <w:sz w:val="12"/>
              </w:rPr>
              <w:t>54</w:t>
            </w:r>
          </w:p>
        </w:tc>
        <w:tc>
          <w:tcPr>
            <w:tcW w:w="885" w:type="dxa"/>
            <w:tcBorders>
              <w:top w:val="single" w:sz="4" w:space="0" w:color="231F20"/>
            </w:tcBorders>
          </w:tcPr>
          <w:p w:rsidR="000740F2" w:rsidRDefault="000740F2" w:rsidP="00DC0FB2">
            <w:pPr>
              <w:pStyle w:val="TableParagraph"/>
              <w:spacing w:before="57" w:line="134" w:lineRule="exact"/>
              <w:ind w:left="446"/>
              <w:rPr>
                <w:sz w:val="12"/>
              </w:rPr>
            </w:pPr>
            <w:r>
              <w:rPr>
                <w:color w:val="231F20"/>
                <w:w w:val="130"/>
                <w:sz w:val="12"/>
              </w:rPr>
              <w:t>58</w:t>
            </w:r>
          </w:p>
        </w:tc>
        <w:tc>
          <w:tcPr>
            <w:tcW w:w="907" w:type="dxa"/>
            <w:tcBorders>
              <w:top w:val="single" w:sz="4" w:space="0" w:color="231F20"/>
            </w:tcBorders>
          </w:tcPr>
          <w:p w:rsidR="000740F2" w:rsidRDefault="000740F2" w:rsidP="00DC0FB2">
            <w:pPr>
              <w:pStyle w:val="TableParagraph"/>
              <w:rPr>
                <w:rFonts w:ascii="Times New Roman"/>
                <w:sz w:val="14"/>
              </w:rPr>
            </w:pPr>
          </w:p>
        </w:tc>
        <w:tc>
          <w:tcPr>
            <w:tcW w:w="894" w:type="dxa"/>
            <w:tcBorders>
              <w:top w:val="single" w:sz="4" w:space="0" w:color="231F20"/>
            </w:tcBorders>
          </w:tcPr>
          <w:p w:rsidR="000740F2" w:rsidRDefault="000740F2" w:rsidP="00DC0FB2">
            <w:pPr>
              <w:pStyle w:val="TableParagraph"/>
              <w:spacing w:before="57" w:line="134" w:lineRule="exact"/>
              <w:ind w:left="-1"/>
              <w:rPr>
                <w:sz w:val="12"/>
              </w:rPr>
            </w:pPr>
            <w:r>
              <w:rPr>
                <w:color w:val="231F20"/>
                <w:w w:val="130"/>
                <w:sz w:val="12"/>
              </w:rPr>
              <w:t>15</w:t>
            </w:r>
          </w:p>
        </w:tc>
        <w:tc>
          <w:tcPr>
            <w:tcW w:w="1343" w:type="dxa"/>
            <w:tcBorders>
              <w:top w:val="single" w:sz="4" w:space="0" w:color="231F20"/>
            </w:tcBorders>
          </w:tcPr>
          <w:p w:rsidR="000740F2" w:rsidRDefault="000740F2" w:rsidP="00DC0FB2">
            <w:pPr>
              <w:pStyle w:val="TableParagraph"/>
              <w:spacing w:before="57" w:line="134" w:lineRule="exact"/>
              <w:ind w:left="449"/>
              <w:rPr>
                <w:sz w:val="12"/>
              </w:rPr>
            </w:pPr>
            <w:r>
              <w:rPr>
                <w:color w:val="231F20"/>
                <w:w w:val="130"/>
                <w:sz w:val="12"/>
              </w:rPr>
              <w:t>31</w:t>
            </w:r>
          </w:p>
        </w:tc>
        <w:tc>
          <w:tcPr>
            <w:tcW w:w="889" w:type="dxa"/>
            <w:tcBorders>
              <w:top w:val="single" w:sz="4" w:space="0" w:color="231F20"/>
            </w:tcBorders>
          </w:tcPr>
          <w:p w:rsidR="000740F2" w:rsidRDefault="000740F2" w:rsidP="00DC0FB2">
            <w:pPr>
              <w:pStyle w:val="TableParagraph"/>
              <w:spacing w:before="57" w:line="134" w:lineRule="exact"/>
              <w:ind w:left="451"/>
              <w:rPr>
                <w:sz w:val="12"/>
              </w:rPr>
            </w:pPr>
            <w:r>
              <w:rPr>
                <w:color w:val="231F20"/>
                <w:w w:val="130"/>
                <w:sz w:val="12"/>
              </w:rPr>
              <w:t>72</w:t>
            </w:r>
          </w:p>
        </w:tc>
        <w:tc>
          <w:tcPr>
            <w:tcW w:w="119" w:type="dxa"/>
            <w:tcBorders>
              <w:top w:val="single" w:sz="4" w:space="0" w:color="231F20"/>
            </w:tcBorders>
          </w:tcPr>
          <w:p w:rsidR="000740F2" w:rsidRDefault="000740F2" w:rsidP="00DC0FB2">
            <w:pPr>
              <w:pStyle w:val="TableParagraph"/>
              <w:rPr>
                <w:rFonts w:ascii="Times New Roman"/>
                <w:sz w:val="14"/>
              </w:rPr>
            </w:pPr>
          </w:p>
        </w:tc>
      </w:tr>
      <w:tr w:rsidR="000740F2" w:rsidTr="000740F2">
        <w:trPr>
          <w:trHeight w:val="171"/>
        </w:trPr>
        <w:tc>
          <w:tcPr>
            <w:tcW w:w="120" w:type="dxa"/>
          </w:tcPr>
          <w:p w:rsidR="000740F2" w:rsidRDefault="000740F2" w:rsidP="00DC0FB2">
            <w:pPr>
              <w:pStyle w:val="TableParagraph"/>
              <w:rPr>
                <w:rFonts w:ascii="Times New Roman"/>
                <w:sz w:val="10"/>
              </w:rPr>
            </w:pPr>
          </w:p>
        </w:tc>
        <w:tc>
          <w:tcPr>
            <w:tcW w:w="1228" w:type="dxa"/>
          </w:tcPr>
          <w:p w:rsidR="000740F2" w:rsidRDefault="000740F2" w:rsidP="00DC0FB2">
            <w:pPr>
              <w:pStyle w:val="TableParagraph"/>
              <w:rPr>
                <w:rFonts w:ascii="Times New Roman"/>
                <w:sz w:val="10"/>
              </w:rPr>
            </w:pPr>
          </w:p>
        </w:tc>
        <w:tc>
          <w:tcPr>
            <w:tcW w:w="1793" w:type="dxa"/>
          </w:tcPr>
          <w:p w:rsidR="000740F2" w:rsidRDefault="000740F2" w:rsidP="00DC0FB2">
            <w:pPr>
              <w:pStyle w:val="TableParagraph"/>
              <w:spacing w:before="17" w:line="134" w:lineRule="exact"/>
              <w:ind w:left="446"/>
              <w:rPr>
                <w:sz w:val="12"/>
              </w:rPr>
            </w:pPr>
            <w:r>
              <w:rPr>
                <w:color w:val="231F20"/>
                <w:w w:val="115"/>
                <w:sz w:val="12"/>
              </w:rPr>
              <w:t>Mean</w:t>
            </w:r>
          </w:p>
        </w:tc>
        <w:tc>
          <w:tcPr>
            <w:tcW w:w="899" w:type="dxa"/>
          </w:tcPr>
          <w:p w:rsidR="000740F2" w:rsidRDefault="000740F2" w:rsidP="00DC0FB2">
            <w:pPr>
              <w:pStyle w:val="TableParagraph"/>
              <w:spacing w:before="17" w:line="134" w:lineRule="exact"/>
              <w:ind w:left="-2"/>
              <w:rPr>
                <w:sz w:val="12"/>
              </w:rPr>
            </w:pPr>
            <w:r>
              <w:rPr>
                <w:color w:val="231F20"/>
                <w:w w:val="125"/>
                <w:sz w:val="12"/>
              </w:rPr>
              <w:t>41.67</w:t>
            </w:r>
          </w:p>
        </w:tc>
        <w:tc>
          <w:tcPr>
            <w:tcW w:w="1343" w:type="dxa"/>
          </w:tcPr>
          <w:p w:rsidR="000740F2" w:rsidRDefault="000740F2" w:rsidP="00DC0FB2">
            <w:pPr>
              <w:pStyle w:val="TableParagraph"/>
              <w:spacing w:before="17" w:line="134" w:lineRule="exact"/>
              <w:ind w:left="444"/>
              <w:rPr>
                <w:sz w:val="12"/>
              </w:rPr>
            </w:pPr>
            <w:r>
              <w:rPr>
                <w:color w:val="231F20"/>
                <w:w w:val="125"/>
                <w:sz w:val="12"/>
              </w:rPr>
              <w:t>43.30</w:t>
            </w:r>
          </w:p>
        </w:tc>
        <w:tc>
          <w:tcPr>
            <w:tcW w:w="885" w:type="dxa"/>
          </w:tcPr>
          <w:p w:rsidR="000740F2" w:rsidRDefault="000740F2" w:rsidP="00DC0FB2">
            <w:pPr>
              <w:pStyle w:val="TableParagraph"/>
              <w:spacing w:before="17" w:line="134" w:lineRule="exact"/>
              <w:ind w:left="446"/>
              <w:rPr>
                <w:sz w:val="12"/>
              </w:rPr>
            </w:pPr>
            <w:r>
              <w:rPr>
                <w:color w:val="231F20"/>
                <w:w w:val="125"/>
                <w:sz w:val="12"/>
              </w:rPr>
              <w:t>39.91</w:t>
            </w:r>
          </w:p>
        </w:tc>
        <w:tc>
          <w:tcPr>
            <w:tcW w:w="907" w:type="dxa"/>
          </w:tcPr>
          <w:p w:rsidR="000740F2" w:rsidRDefault="000740F2" w:rsidP="00DC0FB2">
            <w:pPr>
              <w:pStyle w:val="TableParagraph"/>
              <w:rPr>
                <w:rFonts w:ascii="Times New Roman"/>
                <w:sz w:val="10"/>
              </w:rPr>
            </w:pPr>
          </w:p>
        </w:tc>
        <w:tc>
          <w:tcPr>
            <w:tcW w:w="894" w:type="dxa"/>
          </w:tcPr>
          <w:p w:rsidR="000740F2" w:rsidRDefault="000740F2" w:rsidP="00DC0FB2">
            <w:pPr>
              <w:pStyle w:val="TableParagraph"/>
              <w:spacing w:before="17" w:line="134" w:lineRule="exact"/>
              <w:ind w:left="-1"/>
              <w:rPr>
                <w:sz w:val="12"/>
              </w:rPr>
            </w:pPr>
            <w:r>
              <w:rPr>
                <w:color w:val="231F20"/>
                <w:w w:val="125"/>
                <w:sz w:val="12"/>
              </w:rPr>
              <w:t>40.20</w:t>
            </w:r>
          </w:p>
        </w:tc>
        <w:tc>
          <w:tcPr>
            <w:tcW w:w="1343" w:type="dxa"/>
          </w:tcPr>
          <w:p w:rsidR="000740F2" w:rsidRDefault="000740F2" w:rsidP="00DC0FB2">
            <w:pPr>
              <w:pStyle w:val="TableParagraph"/>
              <w:spacing w:before="17" w:line="134" w:lineRule="exact"/>
              <w:ind w:left="449"/>
              <w:rPr>
                <w:sz w:val="12"/>
              </w:rPr>
            </w:pPr>
            <w:r>
              <w:rPr>
                <w:color w:val="231F20"/>
                <w:w w:val="125"/>
                <w:sz w:val="12"/>
              </w:rPr>
              <w:t>44.61</w:t>
            </w:r>
          </w:p>
        </w:tc>
        <w:tc>
          <w:tcPr>
            <w:tcW w:w="889" w:type="dxa"/>
          </w:tcPr>
          <w:p w:rsidR="000740F2" w:rsidRDefault="000740F2" w:rsidP="00DC0FB2">
            <w:pPr>
              <w:pStyle w:val="TableParagraph"/>
              <w:spacing w:before="17" w:line="134" w:lineRule="exact"/>
              <w:ind w:left="451"/>
              <w:rPr>
                <w:sz w:val="12"/>
              </w:rPr>
            </w:pPr>
            <w:r>
              <w:rPr>
                <w:color w:val="231F20"/>
                <w:w w:val="125"/>
                <w:sz w:val="12"/>
              </w:rPr>
              <w:t>43.19</w:t>
            </w:r>
          </w:p>
        </w:tc>
        <w:tc>
          <w:tcPr>
            <w:tcW w:w="119" w:type="dxa"/>
          </w:tcPr>
          <w:p w:rsidR="000740F2" w:rsidRDefault="000740F2" w:rsidP="00DC0FB2">
            <w:pPr>
              <w:pStyle w:val="TableParagraph"/>
              <w:rPr>
                <w:rFonts w:ascii="Times New Roman"/>
                <w:sz w:val="10"/>
              </w:rPr>
            </w:pPr>
          </w:p>
        </w:tc>
      </w:tr>
      <w:tr w:rsidR="000740F2" w:rsidTr="000740F2">
        <w:trPr>
          <w:trHeight w:val="301"/>
        </w:trPr>
        <w:tc>
          <w:tcPr>
            <w:tcW w:w="120" w:type="dxa"/>
          </w:tcPr>
          <w:p w:rsidR="000740F2" w:rsidRDefault="000740F2" w:rsidP="00DC0FB2">
            <w:pPr>
              <w:pStyle w:val="TableParagraph"/>
              <w:rPr>
                <w:rFonts w:ascii="Times New Roman"/>
                <w:sz w:val="14"/>
              </w:rPr>
            </w:pPr>
          </w:p>
        </w:tc>
        <w:tc>
          <w:tcPr>
            <w:tcW w:w="1228" w:type="dxa"/>
          </w:tcPr>
          <w:p w:rsidR="000740F2" w:rsidRDefault="000740F2" w:rsidP="00DC0FB2">
            <w:pPr>
              <w:pStyle w:val="TableParagraph"/>
              <w:rPr>
                <w:rFonts w:ascii="Times New Roman"/>
                <w:sz w:val="14"/>
              </w:rPr>
            </w:pPr>
          </w:p>
        </w:tc>
        <w:tc>
          <w:tcPr>
            <w:tcW w:w="1793" w:type="dxa"/>
          </w:tcPr>
          <w:p w:rsidR="000740F2" w:rsidRDefault="000740F2" w:rsidP="00DC0FB2">
            <w:pPr>
              <w:pStyle w:val="TableParagraph"/>
              <w:spacing w:before="1"/>
              <w:ind w:left="446"/>
              <w:rPr>
                <w:rFonts w:ascii="Lucida Sans Unicode" w:hAnsi="Lucida Sans Unicode"/>
                <w:sz w:val="12"/>
              </w:rPr>
            </w:pPr>
            <w:r>
              <w:rPr>
                <w:color w:val="231F20"/>
                <w:w w:val="105"/>
                <w:sz w:val="12"/>
              </w:rPr>
              <w:t>SD</w:t>
            </w:r>
            <w:r>
              <w:rPr>
                <w:rFonts w:ascii="Lucida Sans Unicode" w:hAnsi="Lucida Sans Unicode"/>
                <w:color w:val="231F20"/>
                <w:w w:val="105"/>
                <w:sz w:val="12"/>
              </w:rPr>
              <w:t>±</w:t>
            </w:r>
          </w:p>
          <w:p w:rsidR="000740F2" w:rsidRDefault="000740F2" w:rsidP="00DC0FB2">
            <w:pPr>
              <w:pStyle w:val="TableParagraph"/>
              <w:spacing w:before="3" w:line="93" w:lineRule="exact"/>
              <w:ind w:left="446"/>
              <w:rPr>
                <w:sz w:val="12"/>
              </w:rPr>
            </w:pPr>
            <w:r>
              <w:rPr>
                <w:color w:val="231F20"/>
                <w:w w:val="110"/>
                <w:sz w:val="12"/>
              </w:rPr>
              <w:t>P value</w:t>
            </w:r>
          </w:p>
        </w:tc>
        <w:tc>
          <w:tcPr>
            <w:tcW w:w="899" w:type="dxa"/>
          </w:tcPr>
          <w:p w:rsidR="000740F2" w:rsidRDefault="000740F2" w:rsidP="00DC0FB2">
            <w:pPr>
              <w:pStyle w:val="TableParagraph"/>
              <w:spacing w:before="1"/>
              <w:ind w:left="-2"/>
              <w:rPr>
                <w:sz w:val="12"/>
              </w:rPr>
            </w:pPr>
            <w:r>
              <w:rPr>
                <w:rFonts w:ascii="Lucida Sans Unicode" w:hAnsi="Lucida Sans Unicode"/>
                <w:color w:val="231F20"/>
                <w:w w:val="120"/>
                <w:sz w:val="12"/>
              </w:rPr>
              <w:t>±</w:t>
            </w:r>
            <w:r>
              <w:rPr>
                <w:color w:val="231F20"/>
                <w:w w:val="120"/>
                <w:sz w:val="12"/>
              </w:rPr>
              <w:t>11.72</w:t>
            </w:r>
          </w:p>
          <w:p w:rsidR="000740F2" w:rsidRDefault="000740F2" w:rsidP="00DC0FB2">
            <w:pPr>
              <w:pStyle w:val="TableParagraph"/>
              <w:spacing w:before="3" w:line="93" w:lineRule="exact"/>
              <w:ind w:left="-2"/>
              <w:rPr>
                <w:sz w:val="12"/>
              </w:rPr>
            </w:pPr>
            <w:r>
              <w:rPr>
                <w:color w:val="231F20"/>
                <w:w w:val="125"/>
                <w:sz w:val="12"/>
              </w:rPr>
              <w:t>0.311</w:t>
            </w:r>
          </w:p>
        </w:tc>
        <w:tc>
          <w:tcPr>
            <w:tcW w:w="1343" w:type="dxa"/>
          </w:tcPr>
          <w:p w:rsidR="000740F2" w:rsidRDefault="000740F2" w:rsidP="00DC0FB2">
            <w:pPr>
              <w:pStyle w:val="TableParagraph"/>
              <w:spacing w:before="1"/>
              <w:ind w:left="444"/>
              <w:rPr>
                <w:sz w:val="12"/>
              </w:rPr>
            </w:pPr>
            <w:r>
              <w:rPr>
                <w:rFonts w:ascii="Lucida Sans Unicode" w:hAnsi="Lucida Sans Unicode"/>
                <w:color w:val="231F20"/>
                <w:w w:val="120"/>
                <w:sz w:val="12"/>
              </w:rPr>
              <w:t>±</w:t>
            </w:r>
            <w:r>
              <w:rPr>
                <w:color w:val="231F20"/>
                <w:w w:val="120"/>
                <w:sz w:val="12"/>
              </w:rPr>
              <w:t>13.48</w:t>
            </w:r>
          </w:p>
        </w:tc>
        <w:tc>
          <w:tcPr>
            <w:tcW w:w="885" w:type="dxa"/>
          </w:tcPr>
          <w:p w:rsidR="000740F2" w:rsidRDefault="000740F2" w:rsidP="00DC0FB2">
            <w:pPr>
              <w:pStyle w:val="TableParagraph"/>
              <w:spacing w:before="1"/>
              <w:ind w:left="446"/>
              <w:rPr>
                <w:sz w:val="12"/>
              </w:rPr>
            </w:pPr>
            <w:r>
              <w:rPr>
                <w:rFonts w:ascii="Lucida Sans Unicode" w:hAnsi="Lucida Sans Unicode"/>
                <w:color w:val="231F20"/>
                <w:w w:val="120"/>
                <w:sz w:val="12"/>
              </w:rPr>
              <w:t>±</w:t>
            </w:r>
            <w:r>
              <w:rPr>
                <w:color w:val="231F20"/>
                <w:w w:val="120"/>
                <w:sz w:val="12"/>
              </w:rPr>
              <w:t>9.62</w:t>
            </w:r>
          </w:p>
        </w:tc>
        <w:tc>
          <w:tcPr>
            <w:tcW w:w="907" w:type="dxa"/>
          </w:tcPr>
          <w:p w:rsidR="000740F2" w:rsidRDefault="000740F2" w:rsidP="00DC0FB2">
            <w:pPr>
              <w:pStyle w:val="TableParagraph"/>
              <w:rPr>
                <w:rFonts w:ascii="Times New Roman"/>
                <w:sz w:val="14"/>
              </w:rPr>
            </w:pPr>
          </w:p>
        </w:tc>
        <w:tc>
          <w:tcPr>
            <w:tcW w:w="894" w:type="dxa"/>
          </w:tcPr>
          <w:p w:rsidR="000740F2" w:rsidRDefault="000740F2" w:rsidP="00DC0FB2">
            <w:pPr>
              <w:pStyle w:val="TableParagraph"/>
              <w:spacing w:before="1"/>
              <w:ind w:left="-1"/>
              <w:rPr>
                <w:sz w:val="12"/>
              </w:rPr>
            </w:pPr>
            <w:r>
              <w:rPr>
                <w:rFonts w:ascii="Lucida Sans Unicode" w:hAnsi="Lucida Sans Unicode"/>
                <w:color w:val="231F20"/>
                <w:w w:val="120"/>
                <w:sz w:val="12"/>
              </w:rPr>
              <w:t>±</w:t>
            </w:r>
            <w:r>
              <w:rPr>
                <w:color w:val="231F20"/>
                <w:w w:val="120"/>
                <w:sz w:val="12"/>
              </w:rPr>
              <w:t>14.56</w:t>
            </w:r>
          </w:p>
        </w:tc>
        <w:tc>
          <w:tcPr>
            <w:tcW w:w="1343" w:type="dxa"/>
          </w:tcPr>
          <w:p w:rsidR="000740F2" w:rsidRDefault="000740F2" w:rsidP="00DC0FB2">
            <w:pPr>
              <w:pStyle w:val="TableParagraph"/>
              <w:spacing w:before="1"/>
              <w:ind w:left="449"/>
              <w:rPr>
                <w:sz w:val="12"/>
              </w:rPr>
            </w:pPr>
            <w:r>
              <w:rPr>
                <w:rFonts w:ascii="Lucida Sans Unicode" w:hAnsi="Lucida Sans Unicode"/>
                <w:color w:val="231F20"/>
                <w:w w:val="120"/>
                <w:sz w:val="12"/>
              </w:rPr>
              <w:t>±</w:t>
            </w:r>
            <w:r>
              <w:rPr>
                <w:color w:val="231F20"/>
                <w:w w:val="120"/>
                <w:sz w:val="12"/>
              </w:rPr>
              <w:t>12.90</w:t>
            </w:r>
          </w:p>
        </w:tc>
        <w:tc>
          <w:tcPr>
            <w:tcW w:w="889" w:type="dxa"/>
          </w:tcPr>
          <w:p w:rsidR="000740F2" w:rsidRDefault="000740F2" w:rsidP="00DC0FB2">
            <w:pPr>
              <w:pStyle w:val="TableParagraph"/>
              <w:spacing w:before="1"/>
              <w:ind w:left="451" w:right="-15"/>
              <w:rPr>
                <w:sz w:val="12"/>
              </w:rPr>
            </w:pPr>
            <w:r>
              <w:rPr>
                <w:rFonts w:ascii="Lucida Sans Unicode" w:hAnsi="Lucida Sans Unicode"/>
                <w:color w:val="231F20"/>
                <w:w w:val="120"/>
                <w:sz w:val="12"/>
              </w:rPr>
              <w:t>±</w:t>
            </w:r>
            <w:r>
              <w:rPr>
                <w:color w:val="231F20"/>
                <w:w w:val="120"/>
                <w:sz w:val="12"/>
              </w:rPr>
              <w:t>14.33</w:t>
            </w:r>
          </w:p>
        </w:tc>
        <w:tc>
          <w:tcPr>
            <w:tcW w:w="119" w:type="dxa"/>
          </w:tcPr>
          <w:p w:rsidR="000740F2" w:rsidRDefault="000740F2" w:rsidP="00DC0FB2">
            <w:pPr>
              <w:pStyle w:val="TableParagraph"/>
              <w:rPr>
                <w:rFonts w:ascii="Times New Roman"/>
                <w:sz w:val="14"/>
              </w:rPr>
            </w:pPr>
          </w:p>
        </w:tc>
      </w:tr>
      <w:tr w:rsidR="000740F2" w:rsidTr="000740F2">
        <w:trPr>
          <w:trHeight w:val="212"/>
        </w:trPr>
        <w:tc>
          <w:tcPr>
            <w:tcW w:w="120" w:type="dxa"/>
          </w:tcPr>
          <w:p w:rsidR="000740F2" w:rsidRDefault="000740F2" w:rsidP="00DC0FB2">
            <w:pPr>
              <w:pStyle w:val="TableParagraph"/>
              <w:rPr>
                <w:rFonts w:ascii="Times New Roman"/>
                <w:sz w:val="14"/>
              </w:rPr>
            </w:pPr>
          </w:p>
        </w:tc>
        <w:tc>
          <w:tcPr>
            <w:tcW w:w="1228" w:type="dxa"/>
          </w:tcPr>
          <w:p w:rsidR="000740F2" w:rsidRDefault="000740F2" w:rsidP="00DC0FB2">
            <w:pPr>
              <w:pStyle w:val="TableParagraph"/>
              <w:spacing w:before="58" w:line="134" w:lineRule="exact"/>
              <w:ind w:left="-1"/>
              <w:rPr>
                <w:sz w:val="12"/>
              </w:rPr>
            </w:pPr>
            <w:r>
              <w:rPr>
                <w:color w:val="231F20"/>
                <w:w w:val="110"/>
                <w:sz w:val="12"/>
              </w:rPr>
              <w:t>BMI (kg/m2)</w:t>
            </w:r>
          </w:p>
        </w:tc>
        <w:tc>
          <w:tcPr>
            <w:tcW w:w="1793" w:type="dxa"/>
          </w:tcPr>
          <w:p w:rsidR="000740F2" w:rsidRDefault="000740F2" w:rsidP="00DC0FB2">
            <w:pPr>
              <w:pStyle w:val="TableParagraph"/>
              <w:spacing w:before="58" w:line="134" w:lineRule="exact"/>
              <w:ind w:left="446"/>
              <w:rPr>
                <w:sz w:val="12"/>
              </w:rPr>
            </w:pPr>
            <w:r>
              <w:rPr>
                <w:color w:val="231F20"/>
                <w:w w:val="97"/>
                <w:sz w:val="12"/>
              </w:rPr>
              <w:t>N</w:t>
            </w:r>
          </w:p>
        </w:tc>
        <w:tc>
          <w:tcPr>
            <w:tcW w:w="899" w:type="dxa"/>
          </w:tcPr>
          <w:p w:rsidR="000740F2" w:rsidRDefault="000740F2" w:rsidP="00DC0FB2">
            <w:pPr>
              <w:pStyle w:val="TableParagraph"/>
              <w:spacing w:before="58" w:line="134" w:lineRule="exact"/>
              <w:ind w:left="-2"/>
              <w:rPr>
                <w:sz w:val="12"/>
              </w:rPr>
            </w:pPr>
            <w:r>
              <w:rPr>
                <w:color w:val="231F20"/>
                <w:w w:val="127"/>
                <w:sz w:val="12"/>
              </w:rPr>
              <w:t>9</w:t>
            </w:r>
          </w:p>
        </w:tc>
        <w:tc>
          <w:tcPr>
            <w:tcW w:w="1343" w:type="dxa"/>
          </w:tcPr>
          <w:p w:rsidR="000740F2" w:rsidRDefault="000740F2" w:rsidP="00DC0FB2">
            <w:pPr>
              <w:pStyle w:val="TableParagraph"/>
              <w:spacing w:before="58" w:line="134" w:lineRule="exact"/>
              <w:ind w:left="444"/>
              <w:rPr>
                <w:sz w:val="12"/>
              </w:rPr>
            </w:pPr>
            <w:r>
              <w:rPr>
                <w:color w:val="231F20"/>
                <w:w w:val="130"/>
                <w:sz w:val="12"/>
              </w:rPr>
              <w:t>55</w:t>
            </w:r>
          </w:p>
        </w:tc>
        <w:tc>
          <w:tcPr>
            <w:tcW w:w="885" w:type="dxa"/>
          </w:tcPr>
          <w:p w:rsidR="000740F2" w:rsidRDefault="000740F2" w:rsidP="00DC0FB2">
            <w:pPr>
              <w:pStyle w:val="TableParagraph"/>
              <w:spacing w:before="58" w:line="134" w:lineRule="exact"/>
              <w:ind w:left="446"/>
              <w:rPr>
                <w:sz w:val="12"/>
              </w:rPr>
            </w:pPr>
            <w:r>
              <w:rPr>
                <w:color w:val="231F20"/>
                <w:w w:val="130"/>
                <w:sz w:val="12"/>
              </w:rPr>
              <w:t>57</w:t>
            </w:r>
          </w:p>
        </w:tc>
        <w:tc>
          <w:tcPr>
            <w:tcW w:w="907" w:type="dxa"/>
          </w:tcPr>
          <w:p w:rsidR="000740F2" w:rsidRDefault="000740F2" w:rsidP="00DC0FB2">
            <w:pPr>
              <w:pStyle w:val="TableParagraph"/>
              <w:rPr>
                <w:rFonts w:ascii="Times New Roman"/>
                <w:sz w:val="14"/>
              </w:rPr>
            </w:pPr>
          </w:p>
        </w:tc>
        <w:tc>
          <w:tcPr>
            <w:tcW w:w="894" w:type="dxa"/>
          </w:tcPr>
          <w:p w:rsidR="000740F2" w:rsidRDefault="000740F2" w:rsidP="00DC0FB2">
            <w:pPr>
              <w:pStyle w:val="TableParagraph"/>
              <w:spacing w:before="58" w:line="134" w:lineRule="exact"/>
              <w:ind w:left="-1"/>
              <w:rPr>
                <w:sz w:val="12"/>
              </w:rPr>
            </w:pPr>
            <w:r>
              <w:rPr>
                <w:color w:val="231F20"/>
                <w:w w:val="130"/>
                <w:sz w:val="12"/>
              </w:rPr>
              <w:t>14</w:t>
            </w:r>
          </w:p>
        </w:tc>
        <w:tc>
          <w:tcPr>
            <w:tcW w:w="1343" w:type="dxa"/>
          </w:tcPr>
          <w:p w:rsidR="000740F2" w:rsidRDefault="000740F2" w:rsidP="00DC0FB2">
            <w:pPr>
              <w:pStyle w:val="TableParagraph"/>
              <w:spacing w:before="58" w:line="134" w:lineRule="exact"/>
              <w:ind w:left="449"/>
              <w:rPr>
                <w:sz w:val="12"/>
              </w:rPr>
            </w:pPr>
            <w:r>
              <w:rPr>
                <w:color w:val="231F20"/>
                <w:w w:val="130"/>
                <w:sz w:val="12"/>
              </w:rPr>
              <w:t>24</w:t>
            </w:r>
          </w:p>
        </w:tc>
        <w:tc>
          <w:tcPr>
            <w:tcW w:w="889" w:type="dxa"/>
          </w:tcPr>
          <w:p w:rsidR="000740F2" w:rsidRDefault="000740F2" w:rsidP="00DC0FB2">
            <w:pPr>
              <w:pStyle w:val="TableParagraph"/>
              <w:spacing w:before="58" w:line="134" w:lineRule="exact"/>
              <w:ind w:left="451"/>
              <w:rPr>
                <w:sz w:val="12"/>
              </w:rPr>
            </w:pPr>
            <w:r>
              <w:rPr>
                <w:color w:val="231F20"/>
                <w:w w:val="130"/>
                <w:sz w:val="12"/>
              </w:rPr>
              <w:t>49</w:t>
            </w:r>
          </w:p>
        </w:tc>
        <w:tc>
          <w:tcPr>
            <w:tcW w:w="119" w:type="dxa"/>
          </w:tcPr>
          <w:p w:rsidR="000740F2" w:rsidRDefault="000740F2" w:rsidP="00DC0FB2">
            <w:pPr>
              <w:pStyle w:val="TableParagraph"/>
              <w:rPr>
                <w:rFonts w:ascii="Times New Roman"/>
                <w:sz w:val="14"/>
              </w:rPr>
            </w:pPr>
          </w:p>
        </w:tc>
      </w:tr>
      <w:tr w:rsidR="000740F2" w:rsidTr="000740F2">
        <w:trPr>
          <w:trHeight w:val="171"/>
        </w:trPr>
        <w:tc>
          <w:tcPr>
            <w:tcW w:w="120" w:type="dxa"/>
          </w:tcPr>
          <w:p w:rsidR="000740F2" w:rsidRDefault="000740F2" w:rsidP="00DC0FB2">
            <w:pPr>
              <w:pStyle w:val="TableParagraph"/>
              <w:rPr>
                <w:rFonts w:ascii="Times New Roman"/>
                <w:sz w:val="10"/>
              </w:rPr>
            </w:pPr>
          </w:p>
        </w:tc>
        <w:tc>
          <w:tcPr>
            <w:tcW w:w="1228" w:type="dxa"/>
          </w:tcPr>
          <w:p w:rsidR="000740F2" w:rsidRDefault="000740F2" w:rsidP="00DC0FB2">
            <w:pPr>
              <w:pStyle w:val="TableParagraph"/>
              <w:rPr>
                <w:rFonts w:ascii="Times New Roman"/>
                <w:sz w:val="10"/>
              </w:rPr>
            </w:pPr>
          </w:p>
        </w:tc>
        <w:tc>
          <w:tcPr>
            <w:tcW w:w="1793" w:type="dxa"/>
          </w:tcPr>
          <w:p w:rsidR="000740F2" w:rsidRDefault="000740F2" w:rsidP="00DC0FB2">
            <w:pPr>
              <w:pStyle w:val="TableParagraph"/>
              <w:spacing w:before="17" w:line="134" w:lineRule="exact"/>
              <w:ind w:left="446"/>
              <w:rPr>
                <w:sz w:val="12"/>
              </w:rPr>
            </w:pPr>
            <w:r>
              <w:rPr>
                <w:color w:val="231F20"/>
                <w:w w:val="115"/>
                <w:sz w:val="12"/>
              </w:rPr>
              <w:t>Mean</w:t>
            </w:r>
          </w:p>
        </w:tc>
        <w:tc>
          <w:tcPr>
            <w:tcW w:w="899" w:type="dxa"/>
          </w:tcPr>
          <w:p w:rsidR="000740F2" w:rsidRDefault="000740F2" w:rsidP="00DC0FB2">
            <w:pPr>
              <w:pStyle w:val="TableParagraph"/>
              <w:spacing w:before="17" w:line="134" w:lineRule="exact"/>
              <w:ind w:left="-2"/>
              <w:rPr>
                <w:sz w:val="12"/>
              </w:rPr>
            </w:pPr>
            <w:r>
              <w:rPr>
                <w:color w:val="231F20"/>
                <w:w w:val="125"/>
                <w:sz w:val="12"/>
              </w:rPr>
              <w:t>24.59</w:t>
            </w:r>
          </w:p>
        </w:tc>
        <w:tc>
          <w:tcPr>
            <w:tcW w:w="1343" w:type="dxa"/>
          </w:tcPr>
          <w:p w:rsidR="000740F2" w:rsidRDefault="000740F2" w:rsidP="00DC0FB2">
            <w:pPr>
              <w:pStyle w:val="TableParagraph"/>
              <w:spacing w:before="17" w:line="134" w:lineRule="exact"/>
              <w:ind w:left="444"/>
              <w:rPr>
                <w:sz w:val="12"/>
              </w:rPr>
            </w:pPr>
            <w:r>
              <w:rPr>
                <w:color w:val="231F20"/>
                <w:w w:val="125"/>
                <w:sz w:val="12"/>
              </w:rPr>
              <w:t>25.44</w:t>
            </w:r>
          </w:p>
        </w:tc>
        <w:tc>
          <w:tcPr>
            <w:tcW w:w="885" w:type="dxa"/>
          </w:tcPr>
          <w:p w:rsidR="000740F2" w:rsidRDefault="000740F2" w:rsidP="00DC0FB2">
            <w:pPr>
              <w:pStyle w:val="TableParagraph"/>
              <w:spacing w:before="17" w:line="134" w:lineRule="exact"/>
              <w:ind w:left="446"/>
              <w:rPr>
                <w:sz w:val="12"/>
              </w:rPr>
            </w:pPr>
            <w:r>
              <w:rPr>
                <w:color w:val="231F20"/>
                <w:w w:val="125"/>
                <w:sz w:val="12"/>
              </w:rPr>
              <w:t>26.47</w:t>
            </w:r>
          </w:p>
        </w:tc>
        <w:tc>
          <w:tcPr>
            <w:tcW w:w="907" w:type="dxa"/>
          </w:tcPr>
          <w:p w:rsidR="000740F2" w:rsidRDefault="000740F2" w:rsidP="00DC0FB2">
            <w:pPr>
              <w:pStyle w:val="TableParagraph"/>
              <w:rPr>
                <w:rFonts w:ascii="Times New Roman"/>
                <w:sz w:val="10"/>
              </w:rPr>
            </w:pPr>
          </w:p>
        </w:tc>
        <w:tc>
          <w:tcPr>
            <w:tcW w:w="894" w:type="dxa"/>
          </w:tcPr>
          <w:p w:rsidR="000740F2" w:rsidRDefault="000740F2" w:rsidP="00DC0FB2">
            <w:pPr>
              <w:pStyle w:val="TableParagraph"/>
              <w:spacing w:before="17" w:line="134" w:lineRule="exact"/>
              <w:ind w:left="-1"/>
              <w:rPr>
                <w:sz w:val="12"/>
              </w:rPr>
            </w:pPr>
            <w:r>
              <w:rPr>
                <w:color w:val="231F20"/>
                <w:w w:val="125"/>
                <w:sz w:val="12"/>
              </w:rPr>
              <w:t>26.34</w:t>
            </w:r>
          </w:p>
        </w:tc>
        <w:tc>
          <w:tcPr>
            <w:tcW w:w="1343" w:type="dxa"/>
          </w:tcPr>
          <w:p w:rsidR="000740F2" w:rsidRDefault="000740F2" w:rsidP="00DC0FB2">
            <w:pPr>
              <w:pStyle w:val="TableParagraph"/>
              <w:spacing w:before="17" w:line="134" w:lineRule="exact"/>
              <w:ind w:left="449"/>
              <w:rPr>
                <w:sz w:val="12"/>
              </w:rPr>
            </w:pPr>
            <w:r>
              <w:rPr>
                <w:color w:val="231F20"/>
                <w:w w:val="125"/>
                <w:sz w:val="12"/>
              </w:rPr>
              <w:t>26.40</w:t>
            </w:r>
          </w:p>
        </w:tc>
        <w:tc>
          <w:tcPr>
            <w:tcW w:w="889" w:type="dxa"/>
          </w:tcPr>
          <w:p w:rsidR="000740F2" w:rsidRDefault="000740F2" w:rsidP="00DC0FB2">
            <w:pPr>
              <w:pStyle w:val="TableParagraph"/>
              <w:spacing w:before="17" w:line="134" w:lineRule="exact"/>
              <w:ind w:left="451"/>
              <w:rPr>
                <w:sz w:val="12"/>
              </w:rPr>
            </w:pPr>
            <w:r>
              <w:rPr>
                <w:color w:val="231F20"/>
                <w:w w:val="125"/>
                <w:sz w:val="12"/>
              </w:rPr>
              <w:t>25.85</w:t>
            </w:r>
          </w:p>
        </w:tc>
        <w:tc>
          <w:tcPr>
            <w:tcW w:w="119" w:type="dxa"/>
          </w:tcPr>
          <w:p w:rsidR="000740F2" w:rsidRDefault="000740F2" w:rsidP="00DC0FB2">
            <w:pPr>
              <w:pStyle w:val="TableParagraph"/>
              <w:rPr>
                <w:rFonts w:ascii="Times New Roman"/>
                <w:sz w:val="10"/>
              </w:rPr>
            </w:pPr>
          </w:p>
        </w:tc>
      </w:tr>
      <w:tr w:rsidR="000740F2" w:rsidTr="000740F2">
        <w:trPr>
          <w:trHeight w:val="301"/>
        </w:trPr>
        <w:tc>
          <w:tcPr>
            <w:tcW w:w="120" w:type="dxa"/>
          </w:tcPr>
          <w:p w:rsidR="000740F2" w:rsidRDefault="000740F2" w:rsidP="00DC0FB2">
            <w:pPr>
              <w:pStyle w:val="TableParagraph"/>
              <w:rPr>
                <w:rFonts w:ascii="Times New Roman"/>
                <w:sz w:val="14"/>
              </w:rPr>
            </w:pPr>
          </w:p>
        </w:tc>
        <w:tc>
          <w:tcPr>
            <w:tcW w:w="1228" w:type="dxa"/>
          </w:tcPr>
          <w:p w:rsidR="000740F2" w:rsidRDefault="000740F2" w:rsidP="00DC0FB2">
            <w:pPr>
              <w:pStyle w:val="TableParagraph"/>
              <w:rPr>
                <w:rFonts w:ascii="Times New Roman"/>
                <w:sz w:val="14"/>
              </w:rPr>
            </w:pPr>
          </w:p>
        </w:tc>
        <w:tc>
          <w:tcPr>
            <w:tcW w:w="1793" w:type="dxa"/>
          </w:tcPr>
          <w:p w:rsidR="000740F2" w:rsidRDefault="000740F2" w:rsidP="00DC0FB2">
            <w:pPr>
              <w:pStyle w:val="TableParagraph"/>
              <w:spacing w:before="1"/>
              <w:ind w:left="446"/>
              <w:rPr>
                <w:rFonts w:ascii="Lucida Sans Unicode" w:hAnsi="Lucida Sans Unicode"/>
                <w:sz w:val="12"/>
              </w:rPr>
            </w:pPr>
            <w:r>
              <w:rPr>
                <w:color w:val="231F20"/>
                <w:w w:val="105"/>
                <w:sz w:val="12"/>
              </w:rPr>
              <w:t>SD</w:t>
            </w:r>
            <w:r>
              <w:rPr>
                <w:rFonts w:ascii="Lucida Sans Unicode" w:hAnsi="Lucida Sans Unicode"/>
                <w:color w:val="231F20"/>
                <w:w w:val="105"/>
                <w:sz w:val="12"/>
              </w:rPr>
              <w:t>±</w:t>
            </w:r>
          </w:p>
          <w:p w:rsidR="000740F2" w:rsidRDefault="000740F2" w:rsidP="00DC0FB2">
            <w:pPr>
              <w:pStyle w:val="TableParagraph"/>
              <w:spacing w:before="3" w:line="93" w:lineRule="exact"/>
              <w:ind w:left="446"/>
              <w:rPr>
                <w:sz w:val="12"/>
              </w:rPr>
            </w:pPr>
            <w:r>
              <w:rPr>
                <w:color w:val="231F20"/>
                <w:w w:val="110"/>
                <w:sz w:val="12"/>
              </w:rPr>
              <w:t>P value</w:t>
            </w:r>
          </w:p>
        </w:tc>
        <w:tc>
          <w:tcPr>
            <w:tcW w:w="899" w:type="dxa"/>
          </w:tcPr>
          <w:p w:rsidR="000740F2" w:rsidRDefault="000740F2" w:rsidP="00DC0FB2">
            <w:pPr>
              <w:pStyle w:val="TableParagraph"/>
              <w:spacing w:before="1"/>
              <w:ind w:left="-2"/>
              <w:rPr>
                <w:sz w:val="12"/>
              </w:rPr>
            </w:pPr>
            <w:r>
              <w:rPr>
                <w:rFonts w:ascii="Lucida Sans Unicode" w:hAnsi="Lucida Sans Unicode"/>
                <w:color w:val="231F20"/>
                <w:w w:val="120"/>
                <w:sz w:val="12"/>
              </w:rPr>
              <w:t>±</w:t>
            </w:r>
            <w:r>
              <w:rPr>
                <w:color w:val="231F20"/>
                <w:w w:val="120"/>
                <w:sz w:val="12"/>
              </w:rPr>
              <w:t>3.65</w:t>
            </w:r>
          </w:p>
          <w:p w:rsidR="000740F2" w:rsidRDefault="000740F2" w:rsidP="00DC0FB2">
            <w:pPr>
              <w:pStyle w:val="TableParagraph"/>
              <w:spacing w:before="3" w:line="93" w:lineRule="exact"/>
              <w:ind w:left="-2"/>
              <w:rPr>
                <w:sz w:val="12"/>
              </w:rPr>
            </w:pPr>
            <w:r>
              <w:rPr>
                <w:color w:val="231F20"/>
                <w:w w:val="125"/>
                <w:sz w:val="12"/>
              </w:rPr>
              <w:t>0.330</w:t>
            </w:r>
          </w:p>
        </w:tc>
        <w:tc>
          <w:tcPr>
            <w:tcW w:w="1343" w:type="dxa"/>
          </w:tcPr>
          <w:p w:rsidR="000740F2" w:rsidRDefault="000740F2" w:rsidP="00DC0FB2">
            <w:pPr>
              <w:pStyle w:val="TableParagraph"/>
              <w:spacing w:before="1"/>
              <w:ind w:left="444"/>
              <w:rPr>
                <w:sz w:val="12"/>
              </w:rPr>
            </w:pPr>
            <w:r>
              <w:rPr>
                <w:rFonts w:ascii="Lucida Sans Unicode" w:hAnsi="Lucida Sans Unicode"/>
                <w:color w:val="231F20"/>
                <w:w w:val="120"/>
                <w:sz w:val="12"/>
              </w:rPr>
              <w:t>±</w:t>
            </w:r>
            <w:r>
              <w:rPr>
                <w:color w:val="231F20"/>
                <w:w w:val="120"/>
                <w:sz w:val="12"/>
              </w:rPr>
              <w:t>4.90</w:t>
            </w:r>
          </w:p>
        </w:tc>
        <w:tc>
          <w:tcPr>
            <w:tcW w:w="885" w:type="dxa"/>
          </w:tcPr>
          <w:p w:rsidR="000740F2" w:rsidRDefault="000740F2" w:rsidP="00DC0FB2">
            <w:pPr>
              <w:pStyle w:val="TableParagraph"/>
              <w:spacing w:before="1"/>
              <w:ind w:left="446"/>
              <w:rPr>
                <w:sz w:val="12"/>
              </w:rPr>
            </w:pPr>
            <w:r>
              <w:rPr>
                <w:rFonts w:ascii="Lucida Sans Unicode" w:hAnsi="Lucida Sans Unicode"/>
                <w:color w:val="231F20"/>
                <w:w w:val="120"/>
                <w:sz w:val="12"/>
              </w:rPr>
              <w:t>±</w:t>
            </w:r>
            <w:r>
              <w:rPr>
                <w:color w:val="231F20"/>
                <w:w w:val="120"/>
                <w:sz w:val="12"/>
              </w:rPr>
              <w:t>4.18</w:t>
            </w:r>
          </w:p>
        </w:tc>
        <w:tc>
          <w:tcPr>
            <w:tcW w:w="907" w:type="dxa"/>
          </w:tcPr>
          <w:p w:rsidR="000740F2" w:rsidRDefault="000740F2" w:rsidP="00DC0FB2">
            <w:pPr>
              <w:pStyle w:val="TableParagraph"/>
              <w:rPr>
                <w:rFonts w:ascii="Times New Roman"/>
                <w:sz w:val="14"/>
              </w:rPr>
            </w:pPr>
          </w:p>
        </w:tc>
        <w:tc>
          <w:tcPr>
            <w:tcW w:w="894" w:type="dxa"/>
          </w:tcPr>
          <w:p w:rsidR="000740F2" w:rsidRDefault="000740F2" w:rsidP="00DC0FB2">
            <w:pPr>
              <w:pStyle w:val="TableParagraph"/>
              <w:spacing w:before="1"/>
              <w:ind w:left="-1"/>
              <w:rPr>
                <w:sz w:val="12"/>
              </w:rPr>
            </w:pPr>
            <w:r>
              <w:rPr>
                <w:rFonts w:ascii="Lucida Sans Unicode" w:hAnsi="Lucida Sans Unicode"/>
                <w:color w:val="231F20"/>
                <w:w w:val="120"/>
                <w:sz w:val="12"/>
              </w:rPr>
              <w:t>±</w:t>
            </w:r>
            <w:r>
              <w:rPr>
                <w:color w:val="231F20"/>
                <w:w w:val="120"/>
                <w:sz w:val="12"/>
              </w:rPr>
              <w:t>5.22</w:t>
            </w:r>
          </w:p>
        </w:tc>
        <w:tc>
          <w:tcPr>
            <w:tcW w:w="1343" w:type="dxa"/>
          </w:tcPr>
          <w:p w:rsidR="000740F2" w:rsidRDefault="000740F2" w:rsidP="00DC0FB2">
            <w:pPr>
              <w:pStyle w:val="TableParagraph"/>
              <w:spacing w:before="1"/>
              <w:ind w:left="449"/>
              <w:rPr>
                <w:sz w:val="12"/>
              </w:rPr>
            </w:pPr>
            <w:r>
              <w:rPr>
                <w:rFonts w:ascii="Lucida Sans Unicode" w:hAnsi="Lucida Sans Unicode"/>
                <w:color w:val="231F20"/>
                <w:w w:val="120"/>
                <w:sz w:val="12"/>
              </w:rPr>
              <w:t>±</w:t>
            </w:r>
            <w:r>
              <w:rPr>
                <w:color w:val="231F20"/>
                <w:w w:val="120"/>
                <w:sz w:val="12"/>
              </w:rPr>
              <w:t>4.53</w:t>
            </w:r>
          </w:p>
        </w:tc>
        <w:tc>
          <w:tcPr>
            <w:tcW w:w="889" w:type="dxa"/>
          </w:tcPr>
          <w:p w:rsidR="000740F2" w:rsidRDefault="000740F2" w:rsidP="00DC0FB2">
            <w:pPr>
              <w:pStyle w:val="TableParagraph"/>
              <w:spacing w:before="1"/>
              <w:ind w:left="451"/>
              <w:rPr>
                <w:sz w:val="12"/>
              </w:rPr>
            </w:pPr>
            <w:r>
              <w:rPr>
                <w:rFonts w:ascii="Lucida Sans Unicode" w:hAnsi="Lucida Sans Unicode"/>
                <w:color w:val="231F20"/>
                <w:w w:val="120"/>
                <w:sz w:val="12"/>
              </w:rPr>
              <w:t>±</w:t>
            </w:r>
            <w:r>
              <w:rPr>
                <w:color w:val="231F20"/>
                <w:w w:val="120"/>
                <w:sz w:val="12"/>
              </w:rPr>
              <w:t>3.72</w:t>
            </w:r>
          </w:p>
        </w:tc>
        <w:tc>
          <w:tcPr>
            <w:tcW w:w="119" w:type="dxa"/>
          </w:tcPr>
          <w:p w:rsidR="000740F2" w:rsidRDefault="000740F2" w:rsidP="00DC0FB2">
            <w:pPr>
              <w:pStyle w:val="TableParagraph"/>
              <w:rPr>
                <w:rFonts w:ascii="Times New Roman"/>
                <w:sz w:val="14"/>
              </w:rPr>
            </w:pPr>
          </w:p>
        </w:tc>
      </w:tr>
      <w:tr w:rsidR="000740F2" w:rsidTr="000740F2">
        <w:trPr>
          <w:trHeight w:val="212"/>
        </w:trPr>
        <w:tc>
          <w:tcPr>
            <w:tcW w:w="120" w:type="dxa"/>
          </w:tcPr>
          <w:p w:rsidR="000740F2" w:rsidRDefault="000740F2" w:rsidP="00DC0FB2">
            <w:pPr>
              <w:pStyle w:val="TableParagraph"/>
              <w:rPr>
                <w:rFonts w:ascii="Times New Roman"/>
                <w:sz w:val="14"/>
              </w:rPr>
            </w:pPr>
          </w:p>
        </w:tc>
        <w:tc>
          <w:tcPr>
            <w:tcW w:w="1228" w:type="dxa"/>
          </w:tcPr>
          <w:p w:rsidR="000740F2" w:rsidRDefault="000740F2" w:rsidP="00DC0FB2">
            <w:pPr>
              <w:pStyle w:val="TableParagraph"/>
              <w:spacing w:before="58" w:line="134" w:lineRule="exact"/>
              <w:ind w:left="-1"/>
              <w:rPr>
                <w:sz w:val="12"/>
              </w:rPr>
            </w:pPr>
            <w:r>
              <w:rPr>
                <w:color w:val="231F20"/>
                <w:w w:val="115"/>
                <w:sz w:val="12"/>
              </w:rPr>
              <w:t>Height (cm)</w:t>
            </w:r>
          </w:p>
        </w:tc>
        <w:tc>
          <w:tcPr>
            <w:tcW w:w="1793" w:type="dxa"/>
          </w:tcPr>
          <w:p w:rsidR="000740F2" w:rsidRDefault="000740F2" w:rsidP="00DC0FB2">
            <w:pPr>
              <w:pStyle w:val="TableParagraph"/>
              <w:spacing w:before="58" w:line="134" w:lineRule="exact"/>
              <w:ind w:left="446"/>
              <w:rPr>
                <w:sz w:val="12"/>
              </w:rPr>
            </w:pPr>
            <w:r>
              <w:rPr>
                <w:color w:val="231F20"/>
                <w:w w:val="97"/>
                <w:sz w:val="12"/>
              </w:rPr>
              <w:t>N</w:t>
            </w:r>
          </w:p>
        </w:tc>
        <w:tc>
          <w:tcPr>
            <w:tcW w:w="899" w:type="dxa"/>
          </w:tcPr>
          <w:p w:rsidR="000740F2" w:rsidRDefault="000740F2" w:rsidP="00DC0FB2">
            <w:pPr>
              <w:pStyle w:val="TableParagraph"/>
              <w:spacing w:before="58" w:line="134" w:lineRule="exact"/>
              <w:ind w:left="-2"/>
              <w:rPr>
                <w:sz w:val="12"/>
              </w:rPr>
            </w:pPr>
            <w:r>
              <w:rPr>
                <w:color w:val="231F20"/>
                <w:w w:val="127"/>
                <w:sz w:val="12"/>
              </w:rPr>
              <w:t>9</w:t>
            </w:r>
          </w:p>
        </w:tc>
        <w:tc>
          <w:tcPr>
            <w:tcW w:w="1343" w:type="dxa"/>
          </w:tcPr>
          <w:p w:rsidR="000740F2" w:rsidRDefault="000740F2" w:rsidP="00DC0FB2">
            <w:pPr>
              <w:pStyle w:val="TableParagraph"/>
              <w:spacing w:before="58" w:line="134" w:lineRule="exact"/>
              <w:ind w:left="444"/>
              <w:rPr>
                <w:sz w:val="12"/>
              </w:rPr>
            </w:pPr>
            <w:r>
              <w:rPr>
                <w:color w:val="231F20"/>
                <w:w w:val="130"/>
                <w:sz w:val="12"/>
              </w:rPr>
              <w:t>55</w:t>
            </w:r>
          </w:p>
        </w:tc>
        <w:tc>
          <w:tcPr>
            <w:tcW w:w="885" w:type="dxa"/>
          </w:tcPr>
          <w:p w:rsidR="000740F2" w:rsidRDefault="000740F2" w:rsidP="00DC0FB2">
            <w:pPr>
              <w:pStyle w:val="TableParagraph"/>
              <w:spacing w:before="58" w:line="134" w:lineRule="exact"/>
              <w:ind w:left="446"/>
              <w:rPr>
                <w:sz w:val="12"/>
              </w:rPr>
            </w:pPr>
            <w:r>
              <w:rPr>
                <w:color w:val="231F20"/>
                <w:w w:val="130"/>
                <w:sz w:val="12"/>
              </w:rPr>
              <w:t>57</w:t>
            </w:r>
          </w:p>
        </w:tc>
        <w:tc>
          <w:tcPr>
            <w:tcW w:w="907" w:type="dxa"/>
          </w:tcPr>
          <w:p w:rsidR="000740F2" w:rsidRDefault="000740F2" w:rsidP="00DC0FB2">
            <w:pPr>
              <w:pStyle w:val="TableParagraph"/>
              <w:rPr>
                <w:rFonts w:ascii="Times New Roman"/>
                <w:sz w:val="14"/>
              </w:rPr>
            </w:pPr>
          </w:p>
        </w:tc>
        <w:tc>
          <w:tcPr>
            <w:tcW w:w="894" w:type="dxa"/>
          </w:tcPr>
          <w:p w:rsidR="000740F2" w:rsidRDefault="000740F2" w:rsidP="00DC0FB2">
            <w:pPr>
              <w:pStyle w:val="TableParagraph"/>
              <w:spacing w:before="58" w:line="134" w:lineRule="exact"/>
              <w:ind w:left="-1"/>
              <w:rPr>
                <w:sz w:val="12"/>
              </w:rPr>
            </w:pPr>
            <w:r>
              <w:rPr>
                <w:color w:val="231F20"/>
                <w:w w:val="130"/>
                <w:sz w:val="12"/>
              </w:rPr>
              <w:t>15</w:t>
            </w:r>
          </w:p>
        </w:tc>
        <w:tc>
          <w:tcPr>
            <w:tcW w:w="1343" w:type="dxa"/>
          </w:tcPr>
          <w:p w:rsidR="000740F2" w:rsidRDefault="000740F2" w:rsidP="00DC0FB2">
            <w:pPr>
              <w:pStyle w:val="TableParagraph"/>
              <w:spacing w:before="58" w:line="134" w:lineRule="exact"/>
              <w:ind w:left="449"/>
              <w:rPr>
                <w:sz w:val="12"/>
              </w:rPr>
            </w:pPr>
            <w:r>
              <w:rPr>
                <w:color w:val="231F20"/>
                <w:w w:val="130"/>
                <w:sz w:val="12"/>
              </w:rPr>
              <w:t>33</w:t>
            </w:r>
          </w:p>
        </w:tc>
        <w:tc>
          <w:tcPr>
            <w:tcW w:w="889" w:type="dxa"/>
          </w:tcPr>
          <w:p w:rsidR="000740F2" w:rsidRDefault="000740F2" w:rsidP="00DC0FB2">
            <w:pPr>
              <w:pStyle w:val="TableParagraph"/>
              <w:spacing w:before="58" w:line="134" w:lineRule="exact"/>
              <w:ind w:left="451"/>
              <w:rPr>
                <w:sz w:val="12"/>
              </w:rPr>
            </w:pPr>
            <w:r>
              <w:rPr>
                <w:color w:val="231F20"/>
                <w:w w:val="130"/>
                <w:sz w:val="12"/>
              </w:rPr>
              <w:t>71</w:t>
            </w:r>
          </w:p>
        </w:tc>
        <w:tc>
          <w:tcPr>
            <w:tcW w:w="119" w:type="dxa"/>
          </w:tcPr>
          <w:p w:rsidR="000740F2" w:rsidRDefault="000740F2" w:rsidP="00DC0FB2">
            <w:pPr>
              <w:pStyle w:val="TableParagraph"/>
              <w:rPr>
                <w:rFonts w:ascii="Times New Roman"/>
                <w:sz w:val="14"/>
              </w:rPr>
            </w:pPr>
          </w:p>
        </w:tc>
      </w:tr>
      <w:tr w:rsidR="000740F2" w:rsidTr="000740F2">
        <w:trPr>
          <w:trHeight w:val="171"/>
        </w:trPr>
        <w:tc>
          <w:tcPr>
            <w:tcW w:w="120" w:type="dxa"/>
          </w:tcPr>
          <w:p w:rsidR="000740F2" w:rsidRDefault="000740F2" w:rsidP="00DC0FB2">
            <w:pPr>
              <w:pStyle w:val="TableParagraph"/>
              <w:rPr>
                <w:rFonts w:ascii="Times New Roman"/>
                <w:sz w:val="10"/>
              </w:rPr>
            </w:pPr>
          </w:p>
        </w:tc>
        <w:tc>
          <w:tcPr>
            <w:tcW w:w="1228" w:type="dxa"/>
          </w:tcPr>
          <w:p w:rsidR="000740F2" w:rsidRDefault="000740F2" w:rsidP="00DC0FB2">
            <w:pPr>
              <w:pStyle w:val="TableParagraph"/>
              <w:rPr>
                <w:rFonts w:ascii="Times New Roman"/>
                <w:sz w:val="10"/>
              </w:rPr>
            </w:pPr>
          </w:p>
        </w:tc>
        <w:tc>
          <w:tcPr>
            <w:tcW w:w="1793" w:type="dxa"/>
          </w:tcPr>
          <w:p w:rsidR="000740F2" w:rsidRDefault="000740F2" w:rsidP="00DC0FB2">
            <w:pPr>
              <w:pStyle w:val="TableParagraph"/>
              <w:spacing w:before="17" w:line="134" w:lineRule="exact"/>
              <w:ind w:left="446"/>
              <w:rPr>
                <w:sz w:val="12"/>
              </w:rPr>
            </w:pPr>
            <w:r>
              <w:rPr>
                <w:color w:val="231F20"/>
                <w:w w:val="115"/>
                <w:sz w:val="12"/>
              </w:rPr>
              <w:t>Mean</w:t>
            </w:r>
          </w:p>
        </w:tc>
        <w:tc>
          <w:tcPr>
            <w:tcW w:w="899" w:type="dxa"/>
          </w:tcPr>
          <w:p w:rsidR="000740F2" w:rsidRDefault="000740F2" w:rsidP="00DC0FB2">
            <w:pPr>
              <w:pStyle w:val="TableParagraph"/>
              <w:spacing w:before="17" w:line="134" w:lineRule="exact"/>
              <w:ind w:left="-2"/>
              <w:rPr>
                <w:sz w:val="12"/>
              </w:rPr>
            </w:pPr>
            <w:r>
              <w:rPr>
                <w:color w:val="231F20"/>
                <w:w w:val="125"/>
                <w:sz w:val="12"/>
              </w:rPr>
              <w:t>170.89</w:t>
            </w:r>
          </w:p>
        </w:tc>
        <w:tc>
          <w:tcPr>
            <w:tcW w:w="1343" w:type="dxa"/>
          </w:tcPr>
          <w:p w:rsidR="000740F2" w:rsidRDefault="000740F2" w:rsidP="00DC0FB2">
            <w:pPr>
              <w:pStyle w:val="TableParagraph"/>
              <w:spacing w:before="17" w:line="134" w:lineRule="exact"/>
              <w:ind w:left="444"/>
              <w:rPr>
                <w:sz w:val="12"/>
              </w:rPr>
            </w:pPr>
            <w:r>
              <w:rPr>
                <w:color w:val="231F20"/>
                <w:w w:val="125"/>
                <w:sz w:val="12"/>
              </w:rPr>
              <w:t>174.07</w:t>
            </w:r>
          </w:p>
        </w:tc>
        <w:tc>
          <w:tcPr>
            <w:tcW w:w="885" w:type="dxa"/>
          </w:tcPr>
          <w:p w:rsidR="000740F2" w:rsidRDefault="000740F2" w:rsidP="00DC0FB2">
            <w:pPr>
              <w:pStyle w:val="TableParagraph"/>
              <w:spacing w:before="17" w:line="134" w:lineRule="exact"/>
              <w:ind w:left="446"/>
              <w:rPr>
                <w:sz w:val="12"/>
              </w:rPr>
            </w:pPr>
            <w:r>
              <w:rPr>
                <w:color w:val="231F20"/>
                <w:w w:val="125"/>
                <w:sz w:val="12"/>
              </w:rPr>
              <w:t>176.74</w:t>
            </w:r>
          </w:p>
        </w:tc>
        <w:tc>
          <w:tcPr>
            <w:tcW w:w="907" w:type="dxa"/>
          </w:tcPr>
          <w:p w:rsidR="000740F2" w:rsidRDefault="000740F2" w:rsidP="00DC0FB2">
            <w:pPr>
              <w:pStyle w:val="TableParagraph"/>
              <w:rPr>
                <w:rFonts w:ascii="Times New Roman"/>
                <w:sz w:val="10"/>
              </w:rPr>
            </w:pPr>
          </w:p>
        </w:tc>
        <w:tc>
          <w:tcPr>
            <w:tcW w:w="894" w:type="dxa"/>
          </w:tcPr>
          <w:p w:rsidR="000740F2" w:rsidRDefault="000740F2" w:rsidP="00DC0FB2">
            <w:pPr>
              <w:pStyle w:val="TableParagraph"/>
              <w:spacing w:before="17" w:line="134" w:lineRule="exact"/>
              <w:ind w:left="-1"/>
              <w:rPr>
                <w:sz w:val="12"/>
              </w:rPr>
            </w:pPr>
            <w:r>
              <w:rPr>
                <w:color w:val="231F20"/>
                <w:w w:val="125"/>
                <w:sz w:val="12"/>
              </w:rPr>
              <w:t>171.93</w:t>
            </w:r>
          </w:p>
        </w:tc>
        <w:tc>
          <w:tcPr>
            <w:tcW w:w="1343" w:type="dxa"/>
          </w:tcPr>
          <w:p w:rsidR="000740F2" w:rsidRDefault="000740F2" w:rsidP="00DC0FB2">
            <w:pPr>
              <w:pStyle w:val="TableParagraph"/>
              <w:spacing w:before="17" w:line="134" w:lineRule="exact"/>
              <w:ind w:left="449"/>
              <w:rPr>
                <w:sz w:val="12"/>
              </w:rPr>
            </w:pPr>
            <w:r>
              <w:rPr>
                <w:color w:val="231F20"/>
                <w:w w:val="125"/>
                <w:sz w:val="12"/>
              </w:rPr>
              <w:t>169.76</w:t>
            </w:r>
          </w:p>
        </w:tc>
        <w:tc>
          <w:tcPr>
            <w:tcW w:w="889" w:type="dxa"/>
          </w:tcPr>
          <w:p w:rsidR="000740F2" w:rsidRDefault="000740F2" w:rsidP="00DC0FB2">
            <w:pPr>
              <w:pStyle w:val="TableParagraph"/>
              <w:spacing w:before="17" w:line="134" w:lineRule="exact"/>
              <w:ind w:left="451"/>
              <w:rPr>
                <w:sz w:val="12"/>
              </w:rPr>
            </w:pPr>
            <w:r>
              <w:rPr>
                <w:color w:val="231F20"/>
                <w:w w:val="125"/>
                <w:sz w:val="12"/>
              </w:rPr>
              <w:t>173.86</w:t>
            </w:r>
          </w:p>
        </w:tc>
        <w:tc>
          <w:tcPr>
            <w:tcW w:w="119" w:type="dxa"/>
          </w:tcPr>
          <w:p w:rsidR="000740F2" w:rsidRDefault="000740F2" w:rsidP="00DC0FB2">
            <w:pPr>
              <w:pStyle w:val="TableParagraph"/>
              <w:rPr>
                <w:rFonts w:ascii="Times New Roman"/>
                <w:sz w:val="10"/>
              </w:rPr>
            </w:pPr>
          </w:p>
        </w:tc>
      </w:tr>
      <w:tr w:rsidR="000740F2" w:rsidTr="000740F2">
        <w:trPr>
          <w:trHeight w:val="301"/>
        </w:trPr>
        <w:tc>
          <w:tcPr>
            <w:tcW w:w="120" w:type="dxa"/>
          </w:tcPr>
          <w:p w:rsidR="000740F2" w:rsidRDefault="000740F2" w:rsidP="00DC0FB2">
            <w:pPr>
              <w:pStyle w:val="TableParagraph"/>
              <w:rPr>
                <w:rFonts w:ascii="Times New Roman"/>
                <w:sz w:val="14"/>
              </w:rPr>
            </w:pPr>
          </w:p>
        </w:tc>
        <w:tc>
          <w:tcPr>
            <w:tcW w:w="1228" w:type="dxa"/>
          </w:tcPr>
          <w:p w:rsidR="000740F2" w:rsidRDefault="000740F2" w:rsidP="00DC0FB2">
            <w:pPr>
              <w:pStyle w:val="TableParagraph"/>
              <w:rPr>
                <w:rFonts w:ascii="Times New Roman"/>
                <w:sz w:val="14"/>
              </w:rPr>
            </w:pPr>
          </w:p>
        </w:tc>
        <w:tc>
          <w:tcPr>
            <w:tcW w:w="1793" w:type="dxa"/>
          </w:tcPr>
          <w:p w:rsidR="000740F2" w:rsidRDefault="000740F2" w:rsidP="00DC0FB2">
            <w:pPr>
              <w:pStyle w:val="TableParagraph"/>
              <w:spacing w:before="1"/>
              <w:ind w:left="446"/>
              <w:rPr>
                <w:rFonts w:ascii="Lucida Sans Unicode" w:hAnsi="Lucida Sans Unicode"/>
                <w:sz w:val="12"/>
              </w:rPr>
            </w:pPr>
            <w:r>
              <w:rPr>
                <w:color w:val="231F20"/>
                <w:w w:val="105"/>
                <w:sz w:val="12"/>
              </w:rPr>
              <w:t>SD</w:t>
            </w:r>
            <w:r>
              <w:rPr>
                <w:rFonts w:ascii="Lucida Sans Unicode" w:hAnsi="Lucida Sans Unicode"/>
                <w:color w:val="231F20"/>
                <w:w w:val="105"/>
                <w:sz w:val="12"/>
              </w:rPr>
              <w:t>±</w:t>
            </w:r>
          </w:p>
          <w:p w:rsidR="000740F2" w:rsidRDefault="000740F2" w:rsidP="00DC0FB2">
            <w:pPr>
              <w:pStyle w:val="TableParagraph"/>
              <w:spacing w:before="3" w:line="93" w:lineRule="exact"/>
              <w:ind w:left="446"/>
              <w:rPr>
                <w:sz w:val="12"/>
              </w:rPr>
            </w:pPr>
            <w:r>
              <w:rPr>
                <w:color w:val="231F20"/>
                <w:w w:val="110"/>
                <w:sz w:val="12"/>
              </w:rPr>
              <w:t>P value</w:t>
            </w:r>
          </w:p>
        </w:tc>
        <w:tc>
          <w:tcPr>
            <w:tcW w:w="899" w:type="dxa"/>
          </w:tcPr>
          <w:p w:rsidR="000740F2" w:rsidRDefault="000740F2" w:rsidP="00DC0FB2">
            <w:pPr>
              <w:pStyle w:val="TableParagraph"/>
              <w:spacing w:before="1"/>
              <w:ind w:left="-2"/>
              <w:rPr>
                <w:sz w:val="12"/>
              </w:rPr>
            </w:pPr>
            <w:r>
              <w:rPr>
                <w:rFonts w:ascii="Lucida Sans Unicode" w:hAnsi="Lucida Sans Unicode"/>
                <w:color w:val="231F20"/>
                <w:w w:val="120"/>
                <w:sz w:val="12"/>
              </w:rPr>
              <w:t>±</w:t>
            </w:r>
            <w:r>
              <w:rPr>
                <w:color w:val="231F20"/>
                <w:w w:val="120"/>
                <w:sz w:val="12"/>
              </w:rPr>
              <w:t>11.96</w:t>
            </w:r>
          </w:p>
          <w:p w:rsidR="000740F2" w:rsidRDefault="000740F2" w:rsidP="00DC0FB2">
            <w:pPr>
              <w:pStyle w:val="TableParagraph"/>
              <w:spacing w:before="3" w:line="93" w:lineRule="exact"/>
              <w:ind w:left="-2"/>
              <w:rPr>
                <w:sz w:val="12"/>
              </w:rPr>
            </w:pPr>
            <w:r>
              <w:rPr>
                <w:color w:val="231F20"/>
                <w:w w:val="125"/>
                <w:sz w:val="12"/>
              </w:rPr>
              <w:t>0.183</w:t>
            </w:r>
          </w:p>
        </w:tc>
        <w:tc>
          <w:tcPr>
            <w:tcW w:w="1343" w:type="dxa"/>
          </w:tcPr>
          <w:p w:rsidR="000740F2" w:rsidRDefault="000740F2" w:rsidP="00DC0FB2">
            <w:pPr>
              <w:pStyle w:val="TableParagraph"/>
              <w:spacing w:before="1"/>
              <w:ind w:left="444"/>
              <w:rPr>
                <w:sz w:val="12"/>
              </w:rPr>
            </w:pPr>
            <w:r>
              <w:rPr>
                <w:rFonts w:ascii="Lucida Sans Unicode" w:hAnsi="Lucida Sans Unicode"/>
                <w:color w:val="231F20"/>
                <w:w w:val="120"/>
                <w:sz w:val="12"/>
              </w:rPr>
              <w:t>±</w:t>
            </w:r>
            <w:r>
              <w:rPr>
                <w:color w:val="231F20"/>
                <w:w w:val="120"/>
                <w:sz w:val="12"/>
              </w:rPr>
              <w:t>10.04</w:t>
            </w:r>
          </w:p>
        </w:tc>
        <w:tc>
          <w:tcPr>
            <w:tcW w:w="885" w:type="dxa"/>
          </w:tcPr>
          <w:p w:rsidR="000740F2" w:rsidRDefault="000740F2" w:rsidP="00DC0FB2">
            <w:pPr>
              <w:pStyle w:val="TableParagraph"/>
              <w:spacing w:before="1"/>
              <w:ind w:left="446"/>
              <w:rPr>
                <w:sz w:val="12"/>
              </w:rPr>
            </w:pPr>
            <w:r>
              <w:rPr>
                <w:rFonts w:ascii="Lucida Sans Unicode" w:hAnsi="Lucida Sans Unicode"/>
                <w:color w:val="231F20"/>
                <w:w w:val="120"/>
                <w:sz w:val="12"/>
              </w:rPr>
              <w:t>±</w:t>
            </w:r>
            <w:r>
              <w:rPr>
                <w:color w:val="231F20"/>
                <w:w w:val="120"/>
                <w:sz w:val="12"/>
              </w:rPr>
              <w:t>10.45</w:t>
            </w:r>
          </w:p>
        </w:tc>
        <w:tc>
          <w:tcPr>
            <w:tcW w:w="907" w:type="dxa"/>
          </w:tcPr>
          <w:p w:rsidR="000740F2" w:rsidRDefault="000740F2" w:rsidP="00DC0FB2">
            <w:pPr>
              <w:pStyle w:val="TableParagraph"/>
              <w:rPr>
                <w:rFonts w:ascii="Times New Roman"/>
                <w:sz w:val="14"/>
              </w:rPr>
            </w:pPr>
          </w:p>
        </w:tc>
        <w:tc>
          <w:tcPr>
            <w:tcW w:w="894" w:type="dxa"/>
          </w:tcPr>
          <w:p w:rsidR="000740F2" w:rsidRDefault="000740F2" w:rsidP="00DC0FB2">
            <w:pPr>
              <w:pStyle w:val="TableParagraph"/>
              <w:spacing w:before="1"/>
              <w:ind w:left="-1"/>
              <w:rPr>
                <w:sz w:val="12"/>
              </w:rPr>
            </w:pPr>
            <w:r>
              <w:rPr>
                <w:rFonts w:ascii="Lucida Sans Unicode" w:hAnsi="Lucida Sans Unicode"/>
                <w:color w:val="231F20"/>
                <w:w w:val="120"/>
                <w:sz w:val="12"/>
              </w:rPr>
              <w:t>±</w:t>
            </w:r>
            <w:r>
              <w:rPr>
                <w:color w:val="231F20"/>
                <w:w w:val="120"/>
                <w:sz w:val="12"/>
              </w:rPr>
              <w:t>10.31</w:t>
            </w:r>
          </w:p>
        </w:tc>
        <w:tc>
          <w:tcPr>
            <w:tcW w:w="1343" w:type="dxa"/>
          </w:tcPr>
          <w:p w:rsidR="000740F2" w:rsidRDefault="000740F2" w:rsidP="00DC0FB2">
            <w:pPr>
              <w:pStyle w:val="TableParagraph"/>
              <w:spacing w:before="1"/>
              <w:ind w:left="449"/>
              <w:rPr>
                <w:sz w:val="12"/>
              </w:rPr>
            </w:pPr>
            <w:r>
              <w:rPr>
                <w:rFonts w:ascii="Lucida Sans Unicode" w:hAnsi="Lucida Sans Unicode"/>
                <w:color w:val="231F20"/>
                <w:w w:val="120"/>
                <w:sz w:val="12"/>
              </w:rPr>
              <w:t>±</w:t>
            </w:r>
            <w:r>
              <w:rPr>
                <w:color w:val="231F20"/>
                <w:w w:val="120"/>
                <w:sz w:val="12"/>
              </w:rPr>
              <w:t>9.96</w:t>
            </w:r>
          </w:p>
        </w:tc>
        <w:tc>
          <w:tcPr>
            <w:tcW w:w="889" w:type="dxa"/>
          </w:tcPr>
          <w:p w:rsidR="000740F2" w:rsidRDefault="000740F2" w:rsidP="00DC0FB2">
            <w:pPr>
              <w:pStyle w:val="TableParagraph"/>
              <w:spacing w:before="1"/>
              <w:ind w:left="451"/>
              <w:rPr>
                <w:sz w:val="12"/>
              </w:rPr>
            </w:pPr>
            <w:r>
              <w:rPr>
                <w:rFonts w:ascii="Lucida Sans Unicode" w:hAnsi="Lucida Sans Unicode"/>
                <w:color w:val="231F20"/>
                <w:w w:val="120"/>
                <w:sz w:val="12"/>
              </w:rPr>
              <w:t>±</w:t>
            </w:r>
            <w:r>
              <w:rPr>
                <w:color w:val="231F20"/>
                <w:w w:val="120"/>
                <w:sz w:val="12"/>
              </w:rPr>
              <w:t>9.26</w:t>
            </w:r>
          </w:p>
        </w:tc>
        <w:tc>
          <w:tcPr>
            <w:tcW w:w="119" w:type="dxa"/>
          </w:tcPr>
          <w:p w:rsidR="000740F2" w:rsidRDefault="000740F2" w:rsidP="00DC0FB2">
            <w:pPr>
              <w:pStyle w:val="TableParagraph"/>
              <w:rPr>
                <w:rFonts w:ascii="Times New Roman"/>
                <w:sz w:val="14"/>
              </w:rPr>
            </w:pPr>
          </w:p>
        </w:tc>
      </w:tr>
      <w:tr w:rsidR="000740F2" w:rsidTr="000740F2">
        <w:trPr>
          <w:trHeight w:val="212"/>
        </w:trPr>
        <w:tc>
          <w:tcPr>
            <w:tcW w:w="120" w:type="dxa"/>
          </w:tcPr>
          <w:p w:rsidR="000740F2" w:rsidRDefault="000740F2" w:rsidP="00DC0FB2">
            <w:pPr>
              <w:pStyle w:val="TableParagraph"/>
              <w:rPr>
                <w:rFonts w:ascii="Times New Roman"/>
                <w:sz w:val="14"/>
              </w:rPr>
            </w:pPr>
          </w:p>
        </w:tc>
        <w:tc>
          <w:tcPr>
            <w:tcW w:w="1228" w:type="dxa"/>
          </w:tcPr>
          <w:p w:rsidR="000740F2" w:rsidRDefault="000740F2" w:rsidP="00DC0FB2">
            <w:pPr>
              <w:pStyle w:val="TableParagraph"/>
              <w:spacing w:before="58" w:line="134" w:lineRule="exact"/>
              <w:ind w:left="-1"/>
              <w:rPr>
                <w:sz w:val="12"/>
              </w:rPr>
            </w:pPr>
            <w:r>
              <w:rPr>
                <w:color w:val="231F20"/>
                <w:w w:val="115"/>
                <w:sz w:val="12"/>
              </w:rPr>
              <w:t>Weight (kg)</w:t>
            </w:r>
          </w:p>
        </w:tc>
        <w:tc>
          <w:tcPr>
            <w:tcW w:w="1793" w:type="dxa"/>
          </w:tcPr>
          <w:p w:rsidR="000740F2" w:rsidRDefault="000740F2" w:rsidP="00DC0FB2">
            <w:pPr>
              <w:pStyle w:val="TableParagraph"/>
              <w:spacing w:before="58" w:line="134" w:lineRule="exact"/>
              <w:ind w:left="446"/>
              <w:rPr>
                <w:sz w:val="12"/>
              </w:rPr>
            </w:pPr>
            <w:r>
              <w:rPr>
                <w:color w:val="231F20"/>
                <w:w w:val="97"/>
                <w:sz w:val="12"/>
              </w:rPr>
              <w:t>N</w:t>
            </w:r>
          </w:p>
        </w:tc>
        <w:tc>
          <w:tcPr>
            <w:tcW w:w="899" w:type="dxa"/>
          </w:tcPr>
          <w:p w:rsidR="000740F2" w:rsidRDefault="000740F2" w:rsidP="00DC0FB2">
            <w:pPr>
              <w:pStyle w:val="TableParagraph"/>
              <w:spacing w:before="58" w:line="134" w:lineRule="exact"/>
              <w:ind w:left="-2"/>
              <w:rPr>
                <w:sz w:val="12"/>
              </w:rPr>
            </w:pPr>
            <w:r>
              <w:rPr>
                <w:color w:val="231F20"/>
                <w:w w:val="127"/>
                <w:sz w:val="12"/>
              </w:rPr>
              <w:t>9</w:t>
            </w:r>
          </w:p>
        </w:tc>
        <w:tc>
          <w:tcPr>
            <w:tcW w:w="1343" w:type="dxa"/>
          </w:tcPr>
          <w:p w:rsidR="000740F2" w:rsidRDefault="000740F2" w:rsidP="00DC0FB2">
            <w:pPr>
              <w:pStyle w:val="TableParagraph"/>
              <w:spacing w:before="58" w:line="134" w:lineRule="exact"/>
              <w:ind w:left="444"/>
              <w:rPr>
                <w:sz w:val="12"/>
              </w:rPr>
            </w:pPr>
            <w:r>
              <w:rPr>
                <w:color w:val="231F20"/>
                <w:w w:val="130"/>
                <w:sz w:val="12"/>
              </w:rPr>
              <w:t>55</w:t>
            </w:r>
          </w:p>
        </w:tc>
        <w:tc>
          <w:tcPr>
            <w:tcW w:w="885" w:type="dxa"/>
          </w:tcPr>
          <w:p w:rsidR="000740F2" w:rsidRDefault="000740F2" w:rsidP="00DC0FB2">
            <w:pPr>
              <w:pStyle w:val="TableParagraph"/>
              <w:spacing w:before="58" w:line="134" w:lineRule="exact"/>
              <w:ind w:left="446"/>
              <w:rPr>
                <w:sz w:val="12"/>
              </w:rPr>
            </w:pPr>
            <w:r>
              <w:rPr>
                <w:color w:val="231F20"/>
                <w:w w:val="130"/>
                <w:sz w:val="12"/>
              </w:rPr>
              <w:t>58</w:t>
            </w:r>
          </w:p>
        </w:tc>
        <w:tc>
          <w:tcPr>
            <w:tcW w:w="907" w:type="dxa"/>
          </w:tcPr>
          <w:p w:rsidR="000740F2" w:rsidRDefault="000740F2" w:rsidP="00DC0FB2">
            <w:pPr>
              <w:pStyle w:val="TableParagraph"/>
              <w:rPr>
                <w:rFonts w:ascii="Times New Roman"/>
                <w:sz w:val="14"/>
              </w:rPr>
            </w:pPr>
          </w:p>
        </w:tc>
        <w:tc>
          <w:tcPr>
            <w:tcW w:w="894" w:type="dxa"/>
          </w:tcPr>
          <w:p w:rsidR="000740F2" w:rsidRDefault="000740F2" w:rsidP="00DC0FB2">
            <w:pPr>
              <w:pStyle w:val="TableParagraph"/>
              <w:spacing w:before="58" w:line="134" w:lineRule="exact"/>
              <w:ind w:left="-1"/>
              <w:rPr>
                <w:sz w:val="12"/>
              </w:rPr>
            </w:pPr>
            <w:r>
              <w:rPr>
                <w:color w:val="231F20"/>
                <w:w w:val="130"/>
                <w:sz w:val="12"/>
              </w:rPr>
              <w:t>14</w:t>
            </w:r>
          </w:p>
        </w:tc>
        <w:tc>
          <w:tcPr>
            <w:tcW w:w="1343" w:type="dxa"/>
          </w:tcPr>
          <w:p w:rsidR="000740F2" w:rsidRDefault="000740F2" w:rsidP="00DC0FB2">
            <w:pPr>
              <w:pStyle w:val="TableParagraph"/>
              <w:spacing w:before="58" w:line="134" w:lineRule="exact"/>
              <w:ind w:left="449"/>
              <w:rPr>
                <w:sz w:val="12"/>
              </w:rPr>
            </w:pPr>
            <w:r>
              <w:rPr>
                <w:color w:val="231F20"/>
                <w:w w:val="130"/>
                <w:sz w:val="12"/>
              </w:rPr>
              <w:t>24</w:t>
            </w:r>
          </w:p>
        </w:tc>
        <w:tc>
          <w:tcPr>
            <w:tcW w:w="889" w:type="dxa"/>
          </w:tcPr>
          <w:p w:rsidR="000740F2" w:rsidRDefault="000740F2" w:rsidP="00DC0FB2">
            <w:pPr>
              <w:pStyle w:val="TableParagraph"/>
              <w:spacing w:before="58" w:line="134" w:lineRule="exact"/>
              <w:ind w:left="451"/>
              <w:rPr>
                <w:sz w:val="12"/>
              </w:rPr>
            </w:pPr>
            <w:r>
              <w:rPr>
                <w:color w:val="231F20"/>
                <w:w w:val="130"/>
                <w:sz w:val="12"/>
              </w:rPr>
              <w:t>49</w:t>
            </w:r>
          </w:p>
        </w:tc>
        <w:tc>
          <w:tcPr>
            <w:tcW w:w="119" w:type="dxa"/>
          </w:tcPr>
          <w:p w:rsidR="000740F2" w:rsidRDefault="000740F2" w:rsidP="00DC0FB2">
            <w:pPr>
              <w:pStyle w:val="TableParagraph"/>
              <w:rPr>
                <w:rFonts w:ascii="Times New Roman"/>
                <w:sz w:val="14"/>
              </w:rPr>
            </w:pPr>
          </w:p>
        </w:tc>
      </w:tr>
      <w:tr w:rsidR="000740F2" w:rsidTr="000740F2">
        <w:trPr>
          <w:trHeight w:val="171"/>
        </w:trPr>
        <w:tc>
          <w:tcPr>
            <w:tcW w:w="120" w:type="dxa"/>
          </w:tcPr>
          <w:p w:rsidR="000740F2" w:rsidRDefault="000740F2" w:rsidP="00DC0FB2">
            <w:pPr>
              <w:pStyle w:val="TableParagraph"/>
              <w:rPr>
                <w:rFonts w:ascii="Times New Roman"/>
                <w:sz w:val="10"/>
              </w:rPr>
            </w:pPr>
          </w:p>
        </w:tc>
        <w:tc>
          <w:tcPr>
            <w:tcW w:w="1228" w:type="dxa"/>
          </w:tcPr>
          <w:p w:rsidR="000740F2" w:rsidRDefault="000740F2" w:rsidP="00DC0FB2">
            <w:pPr>
              <w:pStyle w:val="TableParagraph"/>
              <w:rPr>
                <w:rFonts w:ascii="Times New Roman"/>
                <w:sz w:val="10"/>
              </w:rPr>
            </w:pPr>
          </w:p>
        </w:tc>
        <w:tc>
          <w:tcPr>
            <w:tcW w:w="1793" w:type="dxa"/>
          </w:tcPr>
          <w:p w:rsidR="000740F2" w:rsidRDefault="000740F2" w:rsidP="00DC0FB2">
            <w:pPr>
              <w:pStyle w:val="TableParagraph"/>
              <w:spacing w:before="17" w:line="134" w:lineRule="exact"/>
              <w:ind w:left="446"/>
              <w:rPr>
                <w:sz w:val="12"/>
              </w:rPr>
            </w:pPr>
            <w:r>
              <w:rPr>
                <w:color w:val="231F20"/>
                <w:w w:val="115"/>
                <w:sz w:val="12"/>
              </w:rPr>
              <w:t>Mean</w:t>
            </w:r>
          </w:p>
        </w:tc>
        <w:tc>
          <w:tcPr>
            <w:tcW w:w="899" w:type="dxa"/>
          </w:tcPr>
          <w:p w:rsidR="000740F2" w:rsidRDefault="000740F2" w:rsidP="00DC0FB2">
            <w:pPr>
              <w:pStyle w:val="TableParagraph"/>
              <w:spacing w:before="17" w:line="134" w:lineRule="exact"/>
              <w:ind w:left="-2"/>
              <w:rPr>
                <w:sz w:val="12"/>
              </w:rPr>
            </w:pPr>
            <w:r>
              <w:rPr>
                <w:color w:val="231F20"/>
                <w:w w:val="125"/>
                <w:sz w:val="12"/>
              </w:rPr>
              <w:t>73.00</w:t>
            </w:r>
          </w:p>
        </w:tc>
        <w:tc>
          <w:tcPr>
            <w:tcW w:w="1343" w:type="dxa"/>
          </w:tcPr>
          <w:p w:rsidR="000740F2" w:rsidRDefault="000740F2" w:rsidP="00DC0FB2">
            <w:pPr>
              <w:pStyle w:val="TableParagraph"/>
              <w:spacing w:before="17" w:line="134" w:lineRule="exact"/>
              <w:ind w:left="444"/>
              <w:rPr>
                <w:sz w:val="12"/>
              </w:rPr>
            </w:pPr>
            <w:r>
              <w:rPr>
                <w:color w:val="231F20"/>
                <w:w w:val="125"/>
                <w:sz w:val="12"/>
              </w:rPr>
              <w:t>78.04</w:t>
            </w:r>
          </w:p>
        </w:tc>
        <w:tc>
          <w:tcPr>
            <w:tcW w:w="885" w:type="dxa"/>
          </w:tcPr>
          <w:p w:rsidR="000740F2" w:rsidRDefault="000740F2" w:rsidP="00DC0FB2">
            <w:pPr>
              <w:pStyle w:val="TableParagraph"/>
              <w:spacing w:before="17" w:line="134" w:lineRule="exact"/>
              <w:ind w:left="446"/>
              <w:rPr>
                <w:sz w:val="12"/>
              </w:rPr>
            </w:pPr>
            <w:r>
              <w:rPr>
                <w:color w:val="231F20"/>
                <w:w w:val="125"/>
                <w:sz w:val="12"/>
              </w:rPr>
              <w:t>83.43</w:t>
            </w:r>
          </w:p>
        </w:tc>
        <w:tc>
          <w:tcPr>
            <w:tcW w:w="907" w:type="dxa"/>
          </w:tcPr>
          <w:p w:rsidR="000740F2" w:rsidRDefault="000740F2" w:rsidP="00DC0FB2">
            <w:pPr>
              <w:pStyle w:val="TableParagraph"/>
              <w:rPr>
                <w:rFonts w:ascii="Times New Roman"/>
                <w:sz w:val="10"/>
              </w:rPr>
            </w:pPr>
          </w:p>
        </w:tc>
        <w:tc>
          <w:tcPr>
            <w:tcW w:w="894" w:type="dxa"/>
          </w:tcPr>
          <w:p w:rsidR="000740F2" w:rsidRDefault="000740F2" w:rsidP="00DC0FB2">
            <w:pPr>
              <w:pStyle w:val="TableParagraph"/>
              <w:spacing w:before="17" w:line="134" w:lineRule="exact"/>
              <w:ind w:left="-1"/>
              <w:rPr>
                <w:sz w:val="12"/>
              </w:rPr>
            </w:pPr>
            <w:r>
              <w:rPr>
                <w:color w:val="231F20"/>
                <w:w w:val="125"/>
                <w:sz w:val="12"/>
              </w:rPr>
              <w:t>79.14</w:t>
            </w:r>
          </w:p>
        </w:tc>
        <w:tc>
          <w:tcPr>
            <w:tcW w:w="1343" w:type="dxa"/>
          </w:tcPr>
          <w:p w:rsidR="000740F2" w:rsidRDefault="000740F2" w:rsidP="00DC0FB2">
            <w:pPr>
              <w:pStyle w:val="TableParagraph"/>
              <w:spacing w:before="17" w:line="134" w:lineRule="exact"/>
              <w:ind w:left="449"/>
              <w:rPr>
                <w:sz w:val="12"/>
              </w:rPr>
            </w:pPr>
            <w:r>
              <w:rPr>
                <w:color w:val="231F20"/>
                <w:w w:val="125"/>
                <w:sz w:val="12"/>
              </w:rPr>
              <w:t>76.58</w:t>
            </w:r>
          </w:p>
        </w:tc>
        <w:tc>
          <w:tcPr>
            <w:tcW w:w="889" w:type="dxa"/>
          </w:tcPr>
          <w:p w:rsidR="000740F2" w:rsidRDefault="000740F2" w:rsidP="00DC0FB2">
            <w:pPr>
              <w:pStyle w:val="TableParagraph"/>
              <w:spacing w:before="17" w:line="134" w:lineRule="exact"/>
              <w:ind w:left="451"/>
              <w:rPr>
                <w:sz w:val="12"/>
              </w:rPr>
            </w:pPr>
            <w:r>
              <w:rPr>
                <w:color w:val="231F20"/>
                <w:w w:val="125"/>
                <w:sz w:val="12"/>
              </w:rPr>
              <w:t>78.04</w:t>
            </w:r>
          </w:p>
        </w:tc>
        <w:tc>
          <w:tcPr>
            <w:tcW w:w="119" w:type="dxa"/>
          </w:tcPr>
          <w:p w:rsidR="000740F2" w:rsidRDefault="000740F2" w:rsidP="00DC0FB2">
            <w:pPr>
              <w:pStyle w:val="TableParagraph"/>
              <w:rPr>
                <w:rFonts w:ascii="Times New Roman"/>
                <w:sz w:val="10"/>
              </w:rPr>
            </w:pPr>
          </w:p>
        </w:tc>
      </w:tr>
      <w:tr w:rsidR="000740F2" w:rsidTr="000740F2">
        <w:trPr>
          <w:trHeight w:val="254"/>
        </w:trPr>
        <w:tc>
          <w:tcPr>
            <w:tcW w:w="120" w:type="dxa"/>
          </w:tcPr>
          <w:p w:rsidR="000740F2" w:rsidRDefault="000740F2" w:rsidP="00DC0FB2">
            <w:pPr>
              <w:pStyle w:val="TableParagraph"/>
              <w:rPr>
                <w:rFonts w:ascii="Times New Roman"/>
                <w:sz w:val="14"/>
              </w:rPr>
            </w:pPr>
          </w:p>
        </w:tc>
        <w:tc>
          <w:tcPr>
            <w:tcW w:w="1228" w:type="dxa"/>
          </w:tcPr>
          <w:p w:rsidR="000740F2" w:rsidRDefault="000740F2" w:rsidP="00DC0FB2">
            <w:pPr>
              <w:pStyle w:val="TableParagraph"/>
              <w:rPr>
                <w:rFonts w:ascii="Times New Roman"/>
                <w:sz w:val="14"/>
              </w:rPr>
            </w:pPr>
          </w:p>
        </w:tc>
        <w:tc>
          <w:tcPr>
            <w:tcW w:w="1793" w:type="dxa"/>
          </w:tcPr>
          <w:p w:rsidR="000740F2" w:rsidRDefault="000740F2" w:rsidP="00DC0FB2">
            <w:pPr>
              <w:pStyle w:val="TableParagraph"/>
              <w:spacing w:before="1"/>
              <w:ind w:left="446"/>
              <w:rPr>
                <w:rFonts w:ascii="Lucida Sans Unicode" w:hAnsi="Lucida Sans Unicode"/>
                <w:sz w:val="12"/>
              </w:rPr>
            </w:pPr>
            <w:r>
              <w:rPr>
                <w:color w:val="231F20"/>
                <w:w w:val="105"/>
                <w:sz w:val="12"/>
              </w:rPr>
              <w:t>SD</w:t>
            </w:r>
            <w:r>
              <w:rPr>
                <w:rFonts w:ascii="Lucida Sans Unicode" w:hAnsi="Lucida Sans Unicode"/>
                <w:color w:val="231F20"/>
                <w:w w:val="105"/>
                <w:sz w:val="12"/>
              </w:rPr>
              <w:t>±</w:t>
            </w:r>
          </w:p>
        </w:tc>
        <w:tc>
          <w:tcPr>
            <w:tcW w:w="899" w:type="dxa"/>
          </w:tcPr>
          <w:p w:rsidR="000740F2" w:rsidRDefault="000740F2" w:rsidP="00DC0FB2">
            <w:pPr>
              <w:pStyle w:val="TableParagraph"/>
              <w:spacing w:before="1"/>
              <w:ind w:left="-2"/>
              <w:rPr>
                <w:sz w:val="12"/>
              </w:rPr>
            </w:pPr>
            <w:r>
              <w:rPr>
                <w:rFonts w:ascii="Lucida Sans Unicode" w:hAnsi="Lucida Sans Unicode"/>
                <w:color w:val="231F20"/>
                <w:w w:val="120"/>
                <w:sz w:val="12"/>
              </w:rPr>
              <w:t>±</w:t>
            </w:r>
            <w:r>
              <w:rPr>
                <w:color w:val="231F20"/>
                <w:w w:val="120"/>
                <w:sz w:val="12"/>
              </w:rPr>
              <w:t>19.16</w:t>
            </w:r>
          </w:p>
        </w:tc>
        <w:tc>
          <w:tcPr>
            <w:tcW w:w="1343" w:type="dxa"/>
          </w:tcPr>
          <w:p w:rsidR="000740F2" w:rsidRDefault="000740F2" w:rsidP="00DC0FB2">
            <w:pPr>
              <w:pStyle w:val="TableParagraph"/>
              <w:spacing w:before="1"/>
              <w:ind w:left="444"/>
              <w:rPr>
                <w:sz w:val="12"/>
              </w:rPr>
            </w:pPr>
            <w:r>
              <w:rPr>
                <w:rFonts w:ascii="Lucida Sans Unicode" w:hAnsi="Lucida Sans Unicode"/>
                <w:color w:val="231F20"/>
                <w:w w:val="120"/>
                <w:sz w:val="12"/>
              </w:rPr>
              <w:t>±</w:t>
            </w:r>
            <w:r>
              <w:rPr>
                <w:color w:val="231F20"/>
                <w:w w:val="120"/>
                <w:sz w:val="12"/>
              </w:rPr>
              <w:t>20.38</w:t>
            </w:r>
          </w:p>
        </w:tc>
        <w:tc>
          <w:tcPr>
            <w:tcW w:w="885" w:type="dxa"/>
          </w:tcPr>
          <w:p w:rsidR="000740F2" w:rsidRDefault="000740F2" w:rsidP="00DC0FB2">
            <w:pPr>
              <w:pStyle w:val="TableParagraph"/>
              <w:spacing w:before="1"/>
              <w:ind w:left="446"/>
              <w:rPr>
                <w:sz w:val="12"/>
              </w:rPr>
            </w:pPr>
            <w:r>
              <w:rPr>
                <w:rFonts w:ascii="Lucida Sans Unicode" w:hAnsi="Lucida Sans Unicode"/>
                <w:color w:val="231F20"/>
                <w:w w:val="120"/>
                <w:sz w:val="12"/>
              </w:rPr>
              <w:t>±</w:t>
            </w:r>
            <w:r>
              <w:rPr>
                <w:color w:val="231F20"/>
                <w:w w:val="120"/>
                <w:sz w:val="12"/>
              </w:rPr>
              <w:t>18.41</w:t>
            </w:r>
          </w:p>
        </w:tc>
        <w:tc>
          <w:tcPr>
            <w:tcW w:w="907" w:type="dxa"/>
          </w:tcPr>
          <w:p w:rsidR="000740F2" w:rsidRDefault="000740F2" w:rsidP="00DC0FB2">
            <w:pPr>
              <w:pStyle w:val="TableParagraph"/>
              <w:rPr>
                <w:rFonts w:ascii="Times New Roman"/>
                <w:sz w:val="14"/>
              </w:rPr>
            </w:pPr>
          </w:p>
        </w:tc>
        <w:tc>
          <w:tcPr>
            <w:tcW w:w="894" w:type="dxa"/>
          </w:tcPr>
          <w:p w:rsidR="000740F2" w:rsidRDefault="000740F2" w:rsidP="00DC0FB2">
            <w:pPr>
              <w:pStyle w:val="TableParagraph"/>
              <w:spacing w:before="1"/>
              <w:ind w:left="-1"/>
              <w:rPr>
                <w:sz w:val="12"/>
              </w:rPr>
            </w:pPr>
            <w:r>
              <w:rPr>
                <w:rFonts w:ascii="Lucida Sans Unicode" w:hAnsi="Lucida Sans Unicode"/>
                <w:color w:val="231F20"/>
                <w:w w:val="120"/>
                <w:sz w:val="12"/>
              </w:rPr>
              <w:t>±</w:t>
            </w:r>
            <w:r>
              <w:rPr>
                <w:color w:val="231F20"/>
                <w:w w:val="120"/>
                <w:sz w:val="12"/>
              </w:rPr>
              <w:t>18.22</w:t>
            </w:r>
          </w:p>
        </w:tc>
        <w:tc>
          <w:tcPr>
            <w:tcW w:w="1343" w:type="dxa"/>
          </w:tcPr>
          <w:p w:rsidR="000740F2" w:rsidRDefault="000740F2" w:rsidP="00DC0FB2">
            <w:pPr>
              <w:pStyle w:val="TableParagraph"/>
              <w:spacing w:before="1"/>
              <w:ind w:left="449"/>
              <w:rPr>
                <w:sz w:val="12"/>
              </w:rPr>
            </w:pPr>
            <w:r>
              <w:rPr>
                <w:rFonts w:ascii="Lucida Sans Unicode" w:hAnsi="Lucida Sans Unicode"/>
                <w:color w:val="231F20"/>
                <w:w w:val="120"/>
                <w:sz w:val="12"/>
              </w:rPr>
              <w:t>±</w:t>
            </w:r>
            <w:r>
              <w:rPr>
                <w:color w:val="231F20"/>
                <w:w w:val="120"/>
                <w:sz w:val="12"/>
              </w:rPr>
              <w:t>17.87</w:t>
            </w:r>
          </w:p>
        </w:tc>
        <w:tc>
          <w:tcPr>
            <w:tcW w:w="889" w:type="dxa"/>
          </w:tcPr>
          <w:p w:rsidR="000740F2" w:rsidRDefault="000740F2" w:rsidP="00DC0FB2">
            <w:pPr>
              <w:pStyle w:val="TableParagraph"/>
              <w:spacing w:before="1"/>
              <w:ind w:left="451" w:right="-15"/>
              <w:rPr>
                <w:sz w:val="12"/>
              </w:rPr>
            </w:pPr>
            <w:r>
              <w:rPr>
                <w:rFonts w:ascii="Lucida Sans Unicode" w:hAnsi="Lucida Sans Unicode"/>
                <w:color w:val="231F20"/>
                <w:w w:val="120"/>
                <w:sz w:val="12"/>
              </w:rPr>
              <w:t>±</w:t>
            </w:r>
            <w:r>
              <w:rPr>
                <w:color w:val="231F20"/>
                <w:w w:val="120"/>
                <w:sz w:val="12"/>
              </w:rPr>
              <w:t>14.62</w:t>
            </w:r>
          </w:p>
        </w:tc>
        <w:tc>
          <w:tcPr>
            <w:tcW w:w="119" w:type="dxa"/>
          </w:tcPr>
          <w:p w:rsidR="000740F2" w:rsidRDefault="000740F2" w:rsidP="00DC0FB2">
            <w:pPr>
              <w:pStyle w:val="TableParagraph"/>
              <w:rPr>
                <w:rFonts w:ascii="Times New Roman"/>
                <w:sz w:val="14"/>
              </w:rPr>
            </w:pPr>
          </w:p>
        </w:tc>
      </w:tr>
      <w:tr w:rsidR="000740F2" w:rsidTr="000740F2">
        <w:trPr>
          <w:trHeight w:val="522"/>
        </w:trPr>
        <w:tc>
          <w:tcPr>
            <w:tcW w:w="10420" w:type="dxa"/>
            <w:gridSpan w:val="11"/>
          </w:tcPr>
          <w:p w:rsidR="000740F2" w:rsidRDefault="000740F2" w:rsidP="00DC0FB2">
            <w:pPr>
              <w:pStyle w:val="TableParagraph"/>
              <w:rPr>
                <w:sz w:val="16"/>
              </w:rPr>
            </w:pPr>
          </w:p>
          <w:p w:rsidR="000740F2" w:rsidRDefault="000740F2" w:rsidP="00DC0FB2">
            <w:pPr>
              <w:pStyle w:val="TableParagraph"/>
              <w:spacing w:before="106"/>
              <w:ind w:left="119"/>
              <w:rPr>
                <w:sz w:val="12"/>
              </w:rPr>
            </w:pPr>
            <w:r w:rsidRPr="000740F2">
              <w:rPr>
                <w:rFonts w:asciiTheme="minorHAnsi" w:eastAsiaTheme="minorHAnsi" w:hAnsiTheme="minorHAnsi" w:cstheme="minorBidi"/>
                <w:lang w:val="en-GB"/>
              </w:rPr>
              <w:t xml:space="preserve">Table 1b: Characteristics of the entire CON and ATP participant groups for the </w:t>
            </w:r>
            <w:proofErr w:type="spellStart"/>
            <w:r w:rsidRPr="000740F2">
              <w:rPr>
                <w:rFonts w:asciiTheme="minorHAnsi" w:eastAsiaTheme="minorHAnsi" w:hAnsiTheme="minorHAnsi" w:cstheme="minorBidi"/>
                <w:lang w:val="en-GB"/>
              </w:rPr>
              <w:t>iNOS</w:t>
            </w:r>
            <w:proofErr w:type="spellEnd"/>
            <w:r w:rsidRPr="000740F2">
              <w:rPr>
                <w:rFonts w:asciiTheme="minorHAnsi" w:eastAsiaTheme="minorHAnsi" w:hAnsiTheme="minorHAnsi" w:cstheme="minorBidi"/>
                <w:lang w:val="en-GB"/>
              </w:rPr>
              <w:t xml:space="preserve"> variant rs2248814 using one-way ANOVA analysis stratiﬁed according to genotype.</w:t>
            </w:r>
          </w:p>
        </w:tc>
      </w:tr>
      <w:tr w:rsidR="000740F2" w:rsidTr="000740F2">
        <w:trPr>
          <w:trHeight w:val="272"/>
        </w:trPr>
        <w:tc>
          <w:tcPr>
            <w:tcW w:w="120" w:type="dxa"/>
          </w:tcPr>
          <w:p w:rsidR="000740F2" w:rsidRDefault="000740F2" w:rsidP="00DC0FB2">
            <w:pPr>
              <w:pStyle w:val="TableParagraph"/>
              <w:rPr>
                <w:rFonts w:ascii="Times New Roman"/>
                <w:sz w:val="14"/>
              </w:rPr>
            </w:pPr>
          </w:p>
        </w:tc>
        <w:tc>
          <w:tcPr>
            <w:tcW w:w="1228" w:type="dxa"/>
            <w:tcBorders>
              <w:top w:val="single" w:sz="4" w:space="0" w:color="231F20"/>
            </w:tcBorders>
          </w:tcPr>
          <w:p w:rsidR="000740F2" w:rsidRDefault="000740F2" w:rsidP="00DC0FB2">
            <w:pPr>
              <w:pStyle w:val="TableParagraph"/>
              <w:spacing w:before="55"/>
              <w:ind w:left="-1"/>
              <w:rPr>
                <w:sz w:val="12"/>
              </w:rPr>
            </w:pPr>
            <w:r>
              <w:rPr>
                <w:color w:val="231F20"/>
                <w:w w:val="125"/>
                <w:sz w:val="12"/>
              </w:rPr>
              <w:t>rs2248814</w:t>
            </w:r>
          </w:p>
        </w:tc>
        <w:tc>
          <w:tcPr>
            <w:tcW w:w="1793" w:type="dxa"/>
            <w:tcBorders>
              <w:top w:val="single" w:sz="4" w:space="0" w:color="231F20"/>
            </w:tcBorders>
          </w:tcPr>
          <w:p w:rsidR="000740F2" w:rsidRDefault="000740F2" w:rsidP="00DC0FB2">
            <w:pPr>
              <w:pStyle w:val="TableParagraph"/>
              <w:rPr>
                <w:rFonts w:ascii="Times New Roman"/>
                <w:sz w:val="14"/>
              </w:rPr>
            </w:pPr>
          </w:p>
        </w:tc>
        <w:tc>
          <w:tcPr>
            <w:tcW w:w="899" w:type="dxa"/>
            <w:tcBorders>
              <w:top w:val="single" w:sz="4" w:space="0" w:color="231F20"/>
              <w:bottom w:val="single" w:sz="4" w:space="0" w:color="231F20"/>
            </w:tcBorders>
          </w:tcPr>
          <w:p w:rsidR="000740F2" w:rsidRDefault="000740F2" w:rsidP="00DC0FB2">
            <w:pPr>
              <w:pStyle w:val="TableParagraph"/>
              <w:spacing w:before="55"/>
              <w:ind w:left="14"/>
              <w:rPr>
                <w:sz w:val="12"/>
              </w:rPr>
            </w:pPr>
            <w:r>
              <w:rPr>
                <w:color w:val="231F20"/>
                <w:sz w:val="12"/>
              </w:rPr>
              <w:t>CON</w:t>
            </w:r>
          </w:p>
        </w:tc>
        <w:tc>
          <w:tcPr>
            <w:tcW w:w="1343" w:type="dxa"/>
            <w:tcBorders>
              <w:top w:val="single" w:sz="4" w:space="0" w:color="231F20"/>
              <w:bottom w:val="single" w:sz="4" w:space="0" w:color="231F20"/>
            </w:tcBorders>
          </w:tcPr>
          <w:p w:rsidR="000740F2" w:rsidRDefault="000740F2" w:rsidP="00DC0FB2">
            <w:pPr>
              <w:pStyle w:val="TableParagraph"/>
              <w:rPr>
                <w:rFonts w:ascii="Times New Roman"/>
                <w:sz w:val="14"/>
              </w:rPr>
            </w:pPr>
          </w:p>
        </w:tc>
        <w:tc>
          <w:tcPr>
            <w:tcW w:w="885" w:type="dxa"/>
            <w:tcBorders>
              <w:top w:val="single" w:sz="4" w:space="0" w:color="231F20"/>
              <w:bottom w:val="single" w:sz="4" w:space="0" w:color="231F20"/>
            </w:tcBorders>
          </w:tcPr>
          <w:p w:rsidR="000740F2" w:rsidRDefault="000740F2" w:rsidP="00DC0FB2">
            <w:pPr>
              <w:pStyle w:val="TableParagraph"/>
              <w:rPr>
                <w:rFonts w:ascii="Times New Roman"/>
                <w:sz w:val="14"/>
              </w:rPr>
            </w:pPr>
          </w:p>
        </w:tc>
        <w:tc>
          <w:tcPr>
            <w:tcW w:w="907" w:type="dxa"/>
            <w:tcBorders>
              <w:top w:val="single" w:sz="4" w:space="0" w:color="231F20"/>
            </w:tcBorders>
          </w:tcPr>
          <w:p w:rsidR="000740F2" w:rsidRDefault="000740F2" w:rsidP="00DC0FB2">
            <w:pPr>
              <w:pStyle w:val="TableParagraph"/>
              <w:rPr>
                <w:rFonts w:ascii="Times New Roman"/>
                <w:sz w:val="14"/>
              </w:rPr>
            </w:pPr>
          </w:p>
        </w:tc>
        <w:tc>
          <w:tcPr>
            <w:tcW w:w="894" w:type="dxa"/>
            <w:tcBorders>
              <w:top w:val="single" w:sz="4" w:space="0" w:color="231F20"/>
              <w:bottom w:val="single" w:sz="4" w:space="0" w:color="231F20"/>
            </w:tcBorders>
          </w:tcPr>
          <w:p w:rsidR="000740F2" w:rsidRDefault="000740F2" w:rsidP="00DC0FB2">
            <w:pPr>
              <w:pStyle w:val="TableParagraph"/>
              <w:spacing w:before="55"/>
              <w:ind w:left="5"/>
              <w:rPr>
                <w:sz w:val="12"/>
              </w:rPr>
            </w:pPr>
            <w:r>
              <w:rPr>
                <w:color w:val="231F20"/>
                <w:sz w:val="12"/>
              </w:rPr>
              <w:t>ATP</w:t>
            </w:r>
          </w:p>
        </w:tc>
        <w:tc>
          <w:tcPr>
            <w:tcW w:w="1343" w:type="dxa"/>
            <w:tcBorders>
              <w:top w:val="single" w:sz="4" w:space="0" w:color="231F20"/>
              <w:bottom w:val="single" w:sz="4" w:space="0" w:color="231F20"/>
            </w:tcBorders>
          </w:tcPr>
          <w:p w:rsidR="000740F2" w:rsidRDefault="000740F2" w:rsidP="00DC0FB2">
            <w:pPr>
              <w:pStyle w:val="TableParagraph"/>
              <w:rPr>
                <w:rFonts w:ascii="Times New Roman"/>
                <w:sz w:val="14"/>
              </w:rPr>
            </w:pPr>
          </w:p>
        </w:tc>
        <w:tc>
          <w:tcPr>
            <w:tcW w:w="889" w:type="dxa"/>
            <w:tcBorders>
              <w:top w:val="single" w:sz="4" w:space="0" w:color="231F20"/>
              <w:bottom w:val="single" w:sz="4" w:space="0" w:color="231F20"/>
            </w:tcBorders>
          </w:tcPr>
          <w:p w:rsidR="000740F2" w:rsidRDefault="000740F2" w:rsidP="00DC0FB2">
            <w:pPr>
              <w:pStyle w:val="TableParagraph"/>
              <w:rPr>
                <w:rFonts w:ascii="Times New Roman"/>
                <w:sz w:val="14"/>
              </w:rPr>
            </w:pPr>
          </w:p>
        </w:tc>
        <w:tc>
          <w:tcPr>
            <w:tcW w:w="119" w:type="dxa"/>
          </w:tcPr>
          <w:p w:rsidR="000740F2" w:rsidRDefault="000740F2" w:rsidP="00DC0FB2">
            <w:pPr>
              <w:pStyle w:val="TableParagraph"/>
              <w:rPr>
                <w:rFonts w:ascii="Times New Roman"/>
                <w:sz w:val="14"/>
              </w:rPr>
            </w:pPr>
          </w:p>
        </w:tc>
      </w:tr>
      <w:tr w:rsidR="000740F2" w:rsidTr="000740F2">
        <w:trPr>
          <w:trHeight w:val="250"/>
        </w:trPr>
        <w:tc>
          <w:tcPr>
            <w:tcW w:w="120" w:type="dxa"/>
            <w:tcBorders>
              <w:bottom w:val="single" w:sz="4" w:space="0" w:color="231F20"/>
            </w:tcBorders>
          </w:tcPr>
          <w:p w:rsidR="000740F2" w:rsidRDefault="000740F2" w:rsidP="00DC0FB2">
            <w:pPr>
              <w:pStyle w:val="TableParagraph"/>
              <w:rPr>
                <w:rFonts w:ascii="Times New Roman"/>
                <w:sz w:val="14"/>
              </w:rPr>
            </w:pPr>
          </w:p>
        </w:tc>
        <w:tc>
          <w:tcPr>
            <w:tcW w:w="1228" w:type="dxa"/>
            <w:tcBorders>
              <w:bottom w:val="single" w:sz="4" w:space="0" w:color="231F20"/>
            </w:tcBorders>
          </w:tcPr>
          <w:p w:rsidR="000740F2" w:rsidRDefault="000740F2" w:rsidP="00DC0FB2">
            <w:pPr>
              <w:pStyle w:val="TableParagraph"/>
              <w:rPr>
                <w:rFonts w:ascii="Times New Roman"/>
                <w:sz w:val="14"/>
              </w:rPr>
            </w:pPr>
          </w:p>
        </w:tc>
        <w:tc>
          <w:tcPr>
            <w:tcW w:w="1793" w:type="dxa"/>
            <w:tcBorders>
              <w:bottom w:val="single" w:sz="4" w:space="0" w:color="231F20"/>
            </w:tcBorders>
          </w:tcPr>
          <w:p w:rsidR="000740F2" w:rsidRDefault="000740F2" w:rsidP="00DC0FB2">
            <w:pPr>
              <w:pStyle w:val="TableParagraph"/>
              <w:rPr>
                <w:rFonts w:ascii="Times New Roman"/>
                <w:sz w:val="14"/>
              </w:rPr>
            </w:pPr>
          </w:p>
        </w:tc>
        <w:tc>
          <w:tcPr>
            <w:tcW w:w="899" w:type="dxa"/>
            <w:tcBorders>
              <w:top w:val="single" w:sz="4" w:space="0" w:color="231F20"/>
              <w:bottom w:val="single" w:sz="4" w:space="0" w:color="231F20"/>
            </w:tcBorders>
          </w:tcPr>
          <w:p w:rsidR="000740F2" w:rsidRDefault="000740F2" w:rsidP="00DC0FB2">
            <w:pPr>
              <w:pStyle w:val="TableParagraph"/>
              <w:spacing w:before="55"/>
              <w:ind w:left="14"/>
              <w:rPr>
                <w:sz w:val="12"/>
              </w:rPr>
            </w:pPr>
            <w:r>
              <w:rPr>
                <w:color w:val="231F20"/>
                <w:sz w:val="12"/>
              </w:rPr>
              <w:t>AA</w:t>
            </w:r>
          </w:p>
        </w:tc>
        <w:tc>
          <w:tcPr>
            <w:tcW w:w="1343" w:type="dxa"/>
            <w:tcBorders>
              <w:top w:val="single" w:sz="4" w:space="0" w:color="231F20"/>
              <w:bottom w:val="single" w:sz="4" w:space="0" w:color="231F20"/>
            </w:tcBorders>
          </w:tcPr>
          <w:p w:rsidR="000740F2" w:rsidRDefault="000740F2" w:rsidP="00DC0FB2">
            <w:pPr>
              <w:pStyle w:val="TableParagraph"/>
              <w:spacing w:before="55"/>
              <w:ind w:left="456"/>
              <w:rPr>
                <w:sz w:val="12"/>
              </w:rPr>
            </w:pPr>
            <w:r>
              <w:rPr>
                <w:color w:val="231F20"/>
                <w:sz w:val="12"/>
              </w:rPr>
              <w:t>AG</w:t>
            </w:r>
          </w:p>
        </w:tc>
        <w:tc>
          <w:tcPr>
            <w:tcW w:w="885" w:type="dxa"/>
            <w:tcBorders>
              <w:top w:val="single" w:sz="4" w:space="0" w:color="231F20"/>
              <w:bottom w:val="single" w:sz="4" w:space="0" w:color="231F20"/>
            </w:tcBorders>
          </w:tcPr>
          <w:p w:rsidR="000740F2" w:rsidRDefault="000740F2" w:rsidP="00DC0FB2">
            <w:pPr>
              <w:pStyle w:val="TableParagraph"/>
              <w:spacing w:before="55"/>
              <w:ind w:left="455"/>
              <w:rPr>
                <w:sz w:val="12"/>
              </w:rPr>
            </w:pPr>
            <w:r>
              <w:rPr>
                <w:color w:val="231F20"/>
                <w:sz w:val="12"/>
              </w:rPr>
              <w:t>GG</w:t>
            </w:r>
          </w:p>
        </w:tc>
        <w:tc>
          <w:tcPr>
            <w:tcW w:w="907" w:type="dxa"/>
            <w:tcBorders>
              <w:bottom w:val="single" w:sz="4" w:space="0" w:color="231F20"/>
            </w:tcBorders>
          </w:tcPr>
          <w:p w:rsidR="000740F2" w:rsidRDefault="000740F2" w:rsidP="00DC0FB2">
            <w:pPr>
              <w:pStyle w:val="TableParagraph"/>
              <w:rPr>
                <w:rFonts w:ascii="Times New Roman"/>
                <w:sz w:val="14"/>
              </w:rPr>
            </w:pPr>
          </w:p>
        </w:tc>
        <w:tc>
          <w:tcPr>
            <w:tcW w:w="894" w:type="dxa"/>
            <w:tcBorders>
              <w:top w:val="single" w:sz="4" w:space="0" w:color="231F20"/>
              <w:bottom w:val="single" w:sz="4" w:space="0" w:color="231F20"/>
            </w:tcBorders>
          </w:tcPr>
          <w:p w:rsidR="000740F2" w:rsidRDefault="000740F2" w:rsidP="00DC0FB2">
            <w:pPr>
              <w:pStyle w:val="TableParagraph"/>
              <w:spacing w:before="55"/>
              <w:ind w:left="5"/>
              <w:rPr>
                <w:sz w:val="12"/>
              </w:rPr>
            </w:pPr>
            <w:r>
              <w:rPr>
                <w:color w:val="231F20"/>
                <w:sz w:val="12"/>
              </w:rPr>
              <w:t>AA</w:t>
            </w:r>
          </w:p>
        </w:tc>
        <w:tc>
          <w:tcPr>
            <w:tcW w:w="1343" w:type="dxa"/>
            <w:tcBorders>
              <w:top w:val="single" w:sz="4" w:space="0" w:color="231F20"/>
              <w:bottom w:val="single" w:sz="4" w:space="0" w:color="231F20"/>
            </w:tcBorders>
          </w:tcPr>
          <w:p w:rsidR="000740F2" w:rsidRDefault="000740F2" w:rsidP="00DC0FB2">
            <w:pPr>
              <w:pStyle w:val="TableParagraph"/>
              <w:spacing w:before="55"/>
              <w:ind w:left="453"/>
              <w:rPr>
                <w:sz w:val="12"/>
              </w:rPr>
            </w:pPr>
            <w:r>
              <w:rPr>
                <w:color w:val="231F20"/>
                <w:sz w:val="12"/>
              </w:rPr>
              <w:t>AG</w:t>
            </w:r>
          </w:p>
        </w:tc>
        <w:tc>
          <w:tcPr>
            <w:tcW w:w="889" w:type="dxa"/>
            <w:tcBorders>
              <w:top w:val="single" w:sz="4" w:space="0" w:color="231F20"/>
              <w:bottom w:val="single" w:sz="4" w:space="0" w:color="231F20"/>
            </w:tcBorders>
          </w:tcPr>
          <w:p w:rsidR="000740F2" w:rsidRDefault="000740F2" w:rsidP="00DC0FB2">
            <w:pPr>
              <w:pStyle w:val="TableParagraph"/>
              <w:spacing w:before="55"/>
              <w:ind w:left="451"/>
              <w:rPr>
                <w:sz w:val="12"/>
              </w:rPr>
            </w:pPr>
            <w:r>
              <w:rPr>
                <w:color w:val="231F20"/>
                <w:sz w:val="12"/>
              </w:rPr>
              <w:t>GG</w:t>
            </w:r>
          </w:p>
        </w:tc>
        <w:tc>
          <w:tcPr>
            <w:tcW w:w="119" w:type="dxa"/>
            <w:tcBorders>
              <w:bottom w:val="single" w:sz="4" w:space="0" w:color="231F20"/>
            </w:tcBorders>
          </w:tcPr>
          <w:p w:rsidR="000740F2" w:rsidRDefault="000740F2" w:rsidP="00DC0FB2">
            <w:pPr>
              <w:pStyle w:val="TableParagraph"/>
              <w:rPr>
                <w:rFonts w:ascii="Times New Roman"/>
                <w:sz w:val="14"/>
              </w:rPr>
            </w:pPr>
          </w:p>
        </w:tc>
      </w:tr>
      <w:tr w:rsidR="000740F2" w:rsidTr="000740F2">
        <w:trPr>
          <w:trHeight w:val="211"/>
        </w:trPr>
        <w:tc>
          <w:tcPr>
            <w:tcW w:w="120" w:type="dxa"/>
            <w:tcBorders>
              <w:top w:val="single" w:sz="4" w:space="0" w:color="231F20"/>
            </w:tcBorders>
          </w:tcPr>
          <w:p w:rsidR="000740F2" w:rsidRDefault="000740F2" w:rsidP="00DC0FB2">
            <w:pPr>
              <w:pStyle w:val="TableParagraph"/>
              <w:rPr>
                <w:rFonts w:ascii="Times New Roman"/>
                <w:sz w:val="14"/>
              </w:rPr>
            </w:pPr>
          </w:p>
        </w:tc>
        <w:tc>
          <w:tcPr>
            <w:tcW w:w="1228" w:type="dxa"/>
            <w:tcBorders>
              <w:top w:val="single" w:sz="4" w:space="0" w:color="231F20"/>
            </w:tcBorders>
          </w:tcPr>
          <w:p w:rsidR="000740F2" w:rsidRDefault="000740F2" w:rsidP="00DC0FB2">
            <w:pPr>
              <w:pStyle w:val="TableParagraph"/>
              <w:spacing w:before="57" w:line="134" w:lineRule="exact"/>
              <w:ind w:left="-1"/>
              <w:rPr>
                <w:sz w:val="12"/>
              </w:rPr>
            </w:pPr>
            <w:r>
              <w:rPr>
                <w:color w:val="231F20"/>
                <w:w w:val="115"/>
                <w:sz w:val="12"/>
              </w:rPr>
              <w:t>Age (years)</w:t>
            </w:r>
          </w:p>
        </w:tc>
        <w:tc>
          <w:tcPr>
            <w:tcW w:w="1793" w:type="dxa"/>
            <w:tcBorders>
              <w:top w:val="single" w:sz="4" w:space="0" w:color="231F20"/>
            </w:tcBorders>
          </w:tcPr>
          <w:p w:rsidR="000740F2" w:rsidRDefault="000740F2" w:rsidP="00DC0FB2">
            <w:pPr>
              <w:pStyle w:val="TableParagraph"/>
              <w:spacing w:before="57" w:line="134" w:lineRule="exact"/>
              <w:ind w:left="465"/>
              <w:rPr>
                <w:sz w:val="12"/>
              </w:rPr>
            </w:pPr>
            <w:r>
              <w:rPr>
                <w:color w:val="231F20"/>
                <w:w w:val="97"/>
                <w:sz w:val="12"/>
              </w:rPr>
              <w:t>N</w:t>
            </w:r>
          </w:p>
        </w:tc>
        <w:tc>
          <w:tcPr>
            <w:tcW w:w="899" w:type="dxa"/>
            <w:tcBorders>
              <w:top w:val="single" w:sz="4" w:space="0" w:color="231F20"/>
            </w:tcBorders>
          </w:tcPr>
          <w:p w:rsidR="000740F2" w:rsidRDefault="000740F2" w:rsidP="00DC0FB2">
            <w:pPr>
              <w:pStyle w:val="TableParagraph"/>
              <w:spacing w:before="57" w:line="134" w:lineRule="exact"/>
              <w:ind w:left="14"/>
              <w:rPr>
                <w:sz w:val="12"/>
              </w:rPr>
            </w:pPr>
            <w:r>
              <w:rPr>
                <w:color w:val="231F20"/>
                <w:w w:val="130"/>
                <w:sz w:val="12"/>
              </w:rPr>
              <w:t>21</w:t>
            </w:r>
          </w:p>
        </w:tc>
        <w:tc>
          <w:tcPr>
            <w:tcW w:w="1343" w:type="dxa"/>
            <w:tcBorders>
              <w:top w:val="single" w:sz="4" w:space="0" w:color="231F20"/>
            </w:tcBorders>
          </w:tcPr>
          <w:p w:rsidR="000740F2" w:rsidRDefault="000740F2" w:rsidP="00DC0FB2">
            <w:pPr>
              <w:pStyle w:val="TableParagraph"/>
              <w:spacing w:before="57" w:line="134" w:lineRule="exact"/>
              <w:ind w:left="456"/>
              <w:rPr>
                <w:sz w:val="12"/>
              </w:rPr>
            </w:pPr>
            <w:r>
              <w:rPr>
                <w:color w:val="231F20"/>
                <w:w w:val="130"/>
                <w:sz w:val="12"/>
              </w:rPr>
              <w:t>70</w:t>
            </w:r>
          </w:p>
        </w:tc>
        <w:tc>
          <w:tcPr>
            <w:tcW w:w="885" w:type="dxa"/>
            <w:tcBorders>
              <w:top w:val="single" w:sz="4" w:space="0" w:color="231F20"/>
            </w:tcBorders>
          </w:tcPr>
          <w:p w:rsidR="000740F2" w:rsidRDefault="000740F2" w:rsidP="00DC0FB2">
            <w:pPr>
              <w:pStyle w:val="TableParagraph"/>
              <w:spacing w:before="57" w:line="134" w:lineRule="exact"/>
              <w:ind w:left="455"/>
              <w:rPr>
                <w:sz w:val="12"/>
              </w:rPr>
            </w:pPr>
            <w:r>
              <w:rPr>
                <w:color w:val="231F20"/>
                <w:w w:val="130"/>
                <w:sz w:val="12"/>
              </w:rPr>
              <w:t>32</w:t>
            </w:r>
          </w:p>
        </w:tc>
        <w:tc>
          <w:tcPr>
            <w:tcW w:w="907" w:type="dxa"/>
            <w:tcBorders>
              <w:top w:val="single" w:sz="4" w:space="0" w:color="231F20"/>
            </w:tcBorders>
          </w:tcPr>
          <w:p w:rsidR="000740F2" w:rsidRDefault="000740F2" w:rsidP="00DC0FB2">
            <w:pPr>
              <w:pStyle w:val="TableParagraph"/>
              <w:rPr>
                <w:rFonts w:ascii="Times New Roman"/>
                <w:sz w:val="14"/>
              </w:rPr>
            </w:pPr>
          </w:p>
        </w:tc>
        <w:tc>
          <w:tcPr>
            <w:tcW w:w="894" w:type="dxa"/>
            <w:tcBorders>
              <w:top w:val="single" w:sz="4" w:space="0" w:color="231F20"/>
            </w:tcBorders>
          </w:tcPr>
          <w:p w:rsidR="000740F2" w:rsidRDefault="000740F2" w:rsidP="00DC0FB2">
            <w:pPr>
              <w:pStyle w:val="TableParagraph"/>
              <w:spacing w:before="57" w:line="134" w:lineRule="exact"/>
              <w:ind w:left="5"/>
              <w:rPr>
                <w:sz w:val="12"/>
              </w:rPr>
            </w:pPr>
            <w:r>
              <w:rPr>
                <w:color w:val="231F20"/>
                <w:w w:val="130"/>
                <w:sz w:val="12"/>
              </w:rPr>
              <w:t>23</w:t>
            </w:r>
          </w:p>
        </w:tc>
        <w:tc>
          <w:tcPr>
            <w:tcW w:w="1343" w:type="dxa"/>
            <w:tcBorders>
              <w:top w:val="single" w:sz="4" w:space="0" w:color="231F20"/>
            </w:tcBorders>
          </w:tcPr>
          <w:p w:rsidR="000740F2" w:rsidRDefault="000740F2" w:rsidP="00DC0FB2">
            <w:pPr>
              <w:pStyle w:val="TableParagraph"/>
              <w:spacing w:before="57" w:line="134" w:lineRule="exact"/>
              <w:ind w:left="453"/>
              <w:rPr>
                <w:sz w:val="12"/>
              </w:rPr>
            </w:pPr>
            <w:r>
              <w:rPr>
                <w:color w:val="231F20"/>
                <w:w w:val="130"/>
                <w:sz w:val="12"/>
              </w:rPr>
              <w:t>59</w:t>
            </w:r>
          </w:p>
        </w:tc>
        <w:tc>
          <w:tcPr>
            <w:tcW w:w="889" w:type="dxa"/>
            <w:tcBorders>
              <w:top w:val="single" w:sz="4" w:space="0" w:color="231F20"/>
            </w:tcBorders>
          </w:tcPr>
          <w:p w:rsidR="000740F2" w:rsidRDefault="000740F2" w:rsidP="00DC0FB2">
            <w:pPr>
              <w:pStyle w:val="TableParagraph"/>
              <w:spacing w:before="57" w:line="134" w:lineRule="exact"/>
              <w:ind w:left="451"/>
              <w:rPr>
                <w:sz w:val="12"/>
              </w:rPr>
            </w:pPr>
            <w:r>
              <w:rPr>
                <w:color w:val="231F20"/>
                <w:w w:val="130"/>
                <w:sz w:val="12"/>
              </w:rPr>
              <w:t>32</w:t>
            </w:r>
          </w:p>
        </w:tc>
        <w:tc>
          <w:tcPr>
            <w:tcW w:w="119" w:type="dxa"/>
            <w:tcBorders>
              <w:top w:val="single" w:sz="4" w:space="0" w:color="231F20"/>
            </w:tcBorders>
          </w:tcPr>
          <w:p w:rsidR="000740F2" w:rsidRDefault="000740F2" w:rsidP="00DC0FB2">
            <w:pPr>
              <w:pStyle w:val="TableParagraph"/>
              <w:rPr>
                <w:rFonts w:ascii="Times New Roman"/>
                <w:sz w:val="14"/>
              </w:rPr>
            </w:pPr>
          </w:p>
        </w:tc>
      </w:tr>
      <w:tr w:rsidR="000740F2" w:rsidTr="000740F2">
        <w:trPr>
          <w:trHeight w:val="171"/>
        </w:trPr>
        <w:tc>
          <w:tcPr>
            <w:tcW w:w="120" w:type="dxa"/>
          </w:tcPr>
          <w:p w:rsidR="000740F2" w:rsidRDefault="000740F2" w:rsidP="00DC0FB2">
            <w:pPr>
              <w:pStyle w:val="TableParagraph"/>
              <w:rPr>
                <w:rFonts w:ascii="Times New Roman"/>
                <w:sz w:val="10"/>
              </w:rPr>
            </w:pPr>
          </w:p>
        </w:tc>
        <w:tc>
          <w:tcPr>
            <w:tcW w:w="1228" w:type="dxa"/>
          </w:tcPr>
          <w:p w:rsidR="000740F2" w:rsidRDefault="000740F2" w:rsidP="00DC0FB2">
            <w:pPr>
              <w:pStyle w:val="TableParagraph"/>
              <w:rPr>
                <w:rFonts w:ascii="Times New Roman"/>
                <w:sz w:val="10"/>
              </w:rPr>
            </w:pPr>
          </w:p>
        </w:tc>
        <w:tc>
          <w:tcPr>
            <w:tcW w:w="1793" w:type="dxa"/>
          </w:tcPr>
          <w:p w:rsidR="000740F2" w:rsidRDefault="000740F2" w:rsidP="00DC0FB2">
            <w:pPr>
              <w:pStyle w:val="TableParagraph"/>
              <w:spacing w:before="17" w:line="134" w:lineRule="exact"/>
              <w:ind w:left="465"/>
              <w:rPr>
                <w:sz w:val="12"/>
              </w:rPr>
            </w:pPr>
            <w:r>
              <w:rPr>
                <w:color w:val="231F20"/>
                <w:w w:val="115"/>
                <w:sz w:val="12"/>
              </w:rPr>
              <w:t>Mean</w:t>
            </w:r>
          </w:p>
        </w:tc>
        <w:tc>
          <w:tcPr>
            <w:tcW w:w="899" w:type="dxa"/>
          </w:tcPr>
          <w:p w:rsidR="000740F2" w:rsidRDefault="000740F2" w:rsidP="00DC0FB2">
            <w:pPr>
              <w:pStyle w:val="TableParagraph"/>
              <w:spacing w:before="17" w:line="134" w:lineRule="exact"/>
              <w:ind w:left="14"/>
              <w:rPr>
                <w:sz w:val="12"/>
              </w:rPr>
            </w:pPr>
            <w:r>
              <w:rPr>
                <w:color w:val="231F20"/>
                <w:w w:val="125"/>
                <w:sz w:val="12"/>
              </w:rPr>
              <w:t>38.14</w:t>
            </w:r>
          </w:p>
        </w:tc>
        <w:tc>
          <w:tcPr>
            <w:tcW w:w="1343" w:type="dxa"/>
          </w:tcPr>
          <w:p w:rsidR="000740F2" w:rsidRDefault="000740F2" w:rsidP="00DC0FB2">
            <w:pPr>
              <w:pStyle w:val="TableParagraph"/>
              <w:spacing w:before="17" w:line="134" w:lineRule="exact"/>
              <w:ind w:left="456"/>
              <w:rPr>
                <w:sz w:val="12"/>
              </w:rPr>
            </w:pPr>
            <w:r>
              <w:rPr>
                <w:color w:val="231F20"/>
                <w:w w:val="125"/>
                <w:sz w:val="12"/>
              </w:rPr>
              <w:t>41.10</w:t>
            </w:r>
          </w:p>
        </w:tc>
        <w:tc>
          <w:tcPr>
            <w:tcW w:w="885" w:type="dxa"/>
          </w:tcPr>
          <w:p w:rsidR="000740F2" w:rsidRDefault="000740F2" w:rsidP="00DC0FB2">
            <w:pPr>
              <w:pStyle w:val="TableParagraph"/>
              <w:spacing w:before="17" w:line="134" w:lineRule="exact"/>
              <w:ind w:left="455"/>
              <w:rPr>
                <w:sz w:val="12"/>
              </w:rPr>
            </w:pPr>
            <w:r>
              <w:rPr>
                <w:color w:val="231F20"/>
                <w:w w:val="125"/>
                <w:sz w:val="12"/>
              </w:rPr>
              <w:t>45.09</w:t>
            </w:r>
          </w:p>
        </w:tc>
        <w:tc>
          <w:tcPr>
            <w:tcW w:w="907" w:type="dxa"/>
          </w:tcPr>
          <w:p w:rsidR="000740F2" w:rsidRDefault="000740F2" w:rsidP="00DC0FB2">
            <w:pPr>
              <w:pStyle w:val="TableParagraph"/>
              <w:rPr>
                <w:rFonts w:ascii="Times New Roman"/>
                <w:sz w:val="10"/>
              </w:rPr>
            </w:pPr>
          </w:p>
        </w:tc>
        <w:tc>
          <w:tcPr>
            <w:tcW w:w="894" w:type="dxa"/>
          </w:tcPr>
          <w:p w:rsidR="000740F2" w:rsidRDefault="000740F2" w:rsidP="00DC0FB2">
            <w:pPr>
              <w:pStyle w:val="TableParagraph"/>
              <w:spacing w:before="17" w:line="134" w:lineRule="exact"/>
              <w:ind w:left="5"/>
              <w:rPr>
                <w:sz w:val="12"/>
              </w:rPr>
            </w:pPr>
            <w:r>
              <w:rPr>
                <w:color w:val="231F20"/>
                <w:w w:val="125"/>
                <w:sz w:val="12"/>
              </w:rPr>
              <w:t>41.39</w:t>
            </w:r>
          </w:p>
        </w:tc>
        <w:tc>
          <w:tcPr>
            <w:tcW w:w="1343" w:type="dxa"/>
          </w:tcPr>
          <w:p w:rsidR="000740F2" w:rsidRDefault="000740F2" w:rsidP="00DC0FB2">
            <w:pPr>
              <w:pStyle w:val="TableParagraph"/>
              <w:spacing w:before="17" w:line="134" w:lineRule="exact"/>
              <w:ind w:left="453"/>
              <w:rPr>
                <w:sz w:val="12"/>
              </w:rPr>
            </w:pPr>
            <w:r>
              <w:rPr>
                <w:color w:val="231F20"/>
                <w:w w:val="125"/>
                <w:sz w:val="12"/>
              </w:rPr>
              <w:t>44.19</w:t>
            </w:r>
          </w:p>
        </w:tc>
        <w:tc>
          <w:tcPr>
            <w:tcW w:w="889" w:type="dxa"/>
          </w:tcPr>
          <w:p w:rsidR="000740F2" w:rsidRDefault="000740F2" w:rsidP="00DC0FB2">
            <w:pPr>
              <w:pStyle w:val="TableParagraph"/>
              <w:spacing w:before="17" w:line="134" w:lineRule="exact"/>
              <w:ind w:left="451"/>
              <w:rPr>
                <w:sz w:val="12"/>
              </w:rPr>
            </w:pPr>
            <w:r>
              <w:rPr>
                <w:color w:val="231F20"/>
                <w:w w:val="125"/>
                <w:sz w:val="12"/>
              </w:rPr>
              <w:t>43.19</w:t>
            </w:r>
          </w:p>
        </w:tc>
        <w:tc>
          <w:tcPr>
            <w:tcW w:w="119" w:type="dxa"/>
          </w:tcPr>
          <w:p w:rsidR="000740F2" w:rsidRDefault="000740F2" w:rsidP="00DC0FB2">
            <w:pPr>
              <w:pStyle w:val="TableParagraph"/>
              <w:rPr>
                <w:rFonts w:ascii="Times New Roman"/>
                <w:sz w:val="10"/>
              </w:rPr>
            </w:pPr>
          </w:p>
        </w:tc>
      </w:tr>
      <w:tr w:rsidR="000740F2" w:rsidTr="000740F2">
        <w:trPr>
          <w:trHeight w:val="301"/>
        </w:trPr>
        <w:tc>
          <w:tcPr>
            <w:tcW w:w="120" w:type="dxa"/>
          </w:tcPr>
          <w:p w:rsidR="000740F2" w:rsidRDefault="000740F2" w:rsidP="00DC0FB2">
            <w:pPr>
              <w:pStyle w:val="TableParagraph"/>
              <w:rPr>
                <w:rFonts w:ascii="Times New Roman"/>
                <w:sz w:val="14"/>
              </w:rPr>
            </w:pPr>
          </w:p>
        </w:tc>
        <w:tc>
          <w:tcPr>
            <w:tcW w:w="1228" w:type="dxa"/>
          </w:tcPr>
          <w:p w:rsidR="000740F2" w:rsidRDefault="000740F2" w:rsidP="00DC0FB2">
            <w:pPr>
              <w:pStyle w:val="TableParagraph"/>
              <w:rPr>
                <w:rFonts w:ascii="Times New Roman"/>
                <w:sz w:val="14"/>
              </w:rPr>
            </w:pPr>
          </w:p>
        </w:tc>
        <w:tc>
          <w:tcPr>
            <w:tcW w:w="1793" w:type="dxa"/>
          </w:tcPr>
          <w:p w:rsidR="000740F2" w:rsidRDefault="000740F2" w:rsidP="00DC0FB2">
            <w:pPr>
              <w:pStyle w:val="TableParagraph"/>
              <w:spacing w:before="1"/>
              <w:ind w:left="465"/>
              <w:rPr>
                <w:rFonts w:ascii="Lucida Sans Unicode" w:hAnsi="Lucida Sans Unicode"/>
                <w:sz w:val="12"/>
              </w:rPr>
            </w:pPr>
            <w:r>
              <w:rPr>
                <w:color w:val="231F20"/>
                <w:w w:val="105"/>
                <w:sz w:val="12"/>
              </w:rPr>
              <w:t>SD</w:t>
            </w:r>
            <w:r>
              <w:rPr>
                <w:rFonts w:ascii="Lucida Sans Unicode" w:hAnsi="Lucida Sans Unicode"/>
                <w:color w:val="231F20"/>
                <w:w w:val="105"/>
                <w:sz w:val="12"/>
              </w:rPr>
              <w:t>±</w:t>
            </w:r>
          </w:p>
          <w:p w:rsidR="000740F2" w:rsidRDefault="000740F2" w:rsidP="00DC0FB2">
            <w:pPr>
              <w:pStyle w:val="TableParagraph"/>
              <w:spacing w:before="3" w:line="93" w:lineRule="exact"/>
              <w:ind w:left="465"/>
              <w:rPr>
                <w:sz w:val="12"/>
              </w:rPr>
            </w:pPr>
            <w:r>
              <w:rPr>
                <w:color w:val="231F20"/>
                <w:w w:val="110"/>
                <w:sz w:val="12"/>
              </w:rPr>
              <w:t>P value</w:t>
            </w:r>
          </w:p>
        </w:tc>
        <w:tc>
          <w:tcPr>
            <w:tcW w:w="899" w:type="dxa"/>
          </w:tcPr>
          <w:p w:rsidR="000740F2" w:rsidRDefault="000740F2" w:rsidP="00DC0FB2">
            <w:pPr>
              <w:pStyle w:val="TableParagraph"/>
              <w:spacing w:before="1"/>
              <w:ind w:left="14"/>
              <w:rPr>
                <w:sz w:val="12"/>
              </w:rPr>
            </w:pPr>
            <w:r>
              <w:rPr>
                <w:rFonts w:ascii="Lucida Sans Unicode" w:hAnsi="Lucida Sans Unicode"/>
                <w:color w:val="231F20"/>
                <w:w w:val="120"/>
                <w:sz w:val="12"/>
              </w:rPr>
              <w:t>±</w:t>
            </w:r>
            <w:r>
              <w:rPr>
                <w:color w:val="231F20"/>
                <w:w w:val="120"/>
                <w:sz w:val="12"/>
              </w:rPr>
              <w:t>9.49</w:t>
            </w:r>
          </w:p>
          <w:p w:rsidR="000740F2" w:rsidRDefault="000740F2" w:rsidP="00DC0FB2">
            <w:pPr>
              <w:pStyle w:val="TableParagraph"/>
              <w:spacing w:before="3" w:line="93" w:lineRule="exact"/>
              <w:ind w:left="14"/>
              <w:rPr>
                <w:sz w:val="12"/>
              </w:rPr>
            </w:pPr>
            <w:r>
              <w:rPr>
                <w:color w:val="231F20"/>
                <w:w w:val="125"/>
                <w:sz w:val="12"/>
              </w:rPr>
              <w:t>0.085</w:t>
            </w:r>
          </w:p>
        </w:tc>
        <w:tc>
          <w:tcPr>
            <w:tcW w:w="1343" w:type="dxa"/>
          </w:tcPr>
          <w:p w:rsidR="000740F2" w:rsidRDefault="000740F2" w:rsidP="00DC0FB2">
            <w:pPr>
              <w:pStyle w:val="TableParagraph"/>
              <w:spacing w:before="1"/>
              <w:ind w:left="456"/>
              <w:rPr>
                <w:sz w:val="12"/>
              </w:rPr>
            </w:pPr>
            <w:r>
              <w:rPr>
                <w:rFonts w:ascii="Lucida Sans Unicode" w:hAnsi="Lucida Sans Unicode"/>
                <w:color w:val="231F20"/>
                <w:w w:val="120"/>
                <w:sz w:val="12"/>
              </w:rPr>
              <w:t>±</w:t>
            </w:r>
            <w:r>
              <w:rPr>
                <w:color w:val="231F20"/>
                <w:w w:val="120"/>
                <w:sz w:val="12"/>
              </w:rPr>
              <w:t>11.82</w:t>
            </w:r>
          </w:p>
        </w:tc>
        <w:tc>
          <w:tcPr>
            <w:tcW w:w="885" w:type="dxa"/>
          </w:tcPr>
          <w:p w:rsidR="000740F2" w:rsidRDefault="000740F2" w:rsidP="00DC0FB2">
            <w:pPr>
              <w:pStyle w:val="TableParagraph"/>
              <w:spacing w:before="1"/>
              <w:ind w:left="455" w:right="-15"/>
              <w:rPr>
                <w:sz w:val="12"/>
              </w:rPr>
            </w:pPr>
            <w:r>
              <w:rPr>
                <w:rFonts w:ascii="Lucida Sans Unicode" w:hAnsi="Lucida Sans Unicode"/>
                <w:color w:val="231F20"/>
                <w:spacing w:val="-1"/>
                <w:w w:val="120"/>
                <w:sz w:val="12"/>
              </w:rPr>
              <w:t>±</w:t>
            </w:r>
            <w:r>
              <w:rPr>
                <w:color w:val="231F20"/>
                <w:spacing w:val="-1"/>
                <w:w w:val="120"/>
                <w:sz w:val="12"/>
              </w:rPr>
              <w:t>11.73</w:t>
            </w:r>
          </w:p>
        </w:tc>
        <w:tc>
          <w:tcPr>
            <w:tcW w:w="907" w:type="dxa"/>
          </w:tcPr>
          <w:p w:rsidR="000740F2" w:rsidRDefault="000740F2" w:rsidP="00DC0FB2">
            <w:pPr>
              <w:pStyle w:val="TableParagraph"/>
              <w:rPr>
                <w:rFonts w:ascii="Times New Roman"/>
                <w:sz w:val="14"/>
              </w:rPr>
            </w:pPr>
          </w:p>
        </w:tc>
        <w:tc>
          <w:tcPr>
            <w:tcW w:w="894" w:type="dxa"/>
          </w:tcPr>
          <w:p w:rsidR="000740F2" w:rsidRDefault="000740F2" w:rsidP="00DC0FB2">
            <w:pPr>
              <w:pStyle w:val="TableParagraph"/>
              <w:spacing w:before="1"/>
              <w:ind w:left="5"/>
              <w:rPr>
                <w:sz w:val="12"/>
              </w:rPr>
            </w:pPr>
            <w:r>
              <w:rPr>
                <w:rFonts w:ascii="Lucida Sans Unicode" w:hAnsi="Lucida Sans Unicode"/>
                <w:color w:val="231F20"/>
                <w:w w:val="120"/>
                <w:sz w:val="12"/>
              </w:rPr>
              <w:t>±</w:t>
            </w:r>
            <w:r>
              <w:rPr>
                <w:color w:val="231F20"/>
                <w:w w:val="120"/>
                <w:sz w:val="12"/>
              </w:rPr>
              <w:t>16.20</w:t>
            </w:r>
          </w:p>
        </w:tc>
        <w:tc>
          <w:tcPr>
            <w:tcW w:w="1343" w:type="dxa"/>
          </w:tcPr>
          <w:p w:rsidR="000740F2" w:rsidRDefault="000740F2" w:rsidP="00DC0FB2">
            <w:pPr>
              <w:pStyle w:val="TableParagraph"/>
              <w:spacing w:before="1"/>
              <w:ind w:left="453"/>
              <w:rPr>
                <w:sz w:val="12"/>
              </w:rPr>
            </w:pPr>
            <w:r>
              <w:rPr>
                <w:rFonts w:ascii="Lucida Sans Unicode" w:hAnsi="Lucida Sans Unicode"/>
                <w:color w:val="231F20"/>
                <w:w w:val="120"/>
                <w:sz w:val="12"/>
              </w:rPr>
              <w:t>±</w:t>
            </w:r>
            <w:r>
              <w:rPr>
                <w:color w:val="231F20"/>
                <w:w w:val="120"/>
                <w:sz w:val="12"/>
              </w:rPr>
              <w:t>13.37</w:t>
            </w:r>
          </w:p>
        </w:tc>
        <w:tc>
          <w:tcPr>
            <w:tcW w:w="889" w:type="dxa"/>
          </w:tcPr>
          <w:p w:rsidR="000740F2" w:rsidRDefault="000740F2" w:rsidP="00DC0FB2">
            <w:pPr>
              <w:pStyle w:val="TableParagraph"/>
              <w:spacing w:before="1"/>
              <w:ind w:left="451" w:right="-15"/>
              <w:rPr>
                <w:sz w:val="12"/>
              </w:rPr>
            </w:pPr>
            <w:r>
              <w:rPr>
                <w:rFonts w:ascii="Lucida Sans Unicode" w:hAnsi="Lucida Sans Unicode"/>
                <w:color w:val="231F20"/>
                <w:w w:val="120"/>
                <w:sz w:val="12"/>
              </w:rPr>
              <w:t>±</w:t>
            </w:r>
            <w:r>
              <w:rPr>
                <w:color w:val="231F20"/>
                <w:w w:val="120"/>
                <w:sz w:val="12"/>
              </w:rPr>
              <w:t>12.97</w:t>
            </w:r>
          </w:p>
        </w:tc>
        <w:tc>
          <w:tcPr>
            <w:tcW w:w="119" w:type="dxa"/>
          </w:tcPr>
          <w:p w:rsidR="000740F2" w:rsidRDefault="000740F2" w:rsidP="00DC0FB2">
            <w:pPr>
              <w:pStyle w:val="TableParagraph"/>
              <w:rPr>
                <w:rFonts w:ascii="Times New Roman"/>
                <w:sz w:val="14"/>
              </w:rPr>
            </w:pPr>
          </w:p>
        </w:tc>
      </w:tr>
      <w:tr w:rsidR="000740F2" w:rsidTr="000740F2">
        <w:trPr>
          <w:trHeight w:val="212"/>
        </w:trPr>
        <w:tc>
          <w:tcPr>
            <w:tcW w:w="120" w:type="dxa"/>
          </w:tcPr>
          <w:p w:rsidR="000740F2" w:rsidRDefault="000740F2" w:rsidP="00DC0FB2">
            <w:pPr>
              <w:pStyle w:val="TableParagraph"/>
              <w:rPr>
                <w:rFonts w:ascii="Times New Roman"/>
                <w:sz w:val="14"/>
              </w:rPr>
            </w:pPr>
          </w:p>
        </w:tc>
        <w:tc>
          <w:tcPr>
            <w:tcW w:w="1228" w:type="dxa"/>
          </w:tcPr>
          <w:p w:rsidR="000740F2" w:rsidRDefault="000740F2" w:rsidP="00DC0FB2">
            <w:pPr>
              <w:pStyle w:val="TableParagraph"/>
              <w:spacing w:before="58" w:line="134" w:lineRule="exact"/>
              <w:ind w:left="-1"/>
              <w:rPr>
                <w:sz w:val="12"/>
              </w:rPr>
            </w:pPr>
            <w:r>
              <w:rPr>
                <w:color w:val="231F20"/>
                <w:w w:val="110"/>
                <w:sz w:val="12"/>
              </w:rPr>
              <w:t>BMI (kg/m2)</w:t>
            </w:r>
          </w:p>
        </w:tc>
        <w:tc>
          <w:tcPr>
            <w:tcW w:w="1793" w:type="dxa"/>
          </w:tcPr>
          <w:p w:rsidR="000740F2" w:rsidRDefault="000740F2" w:rsidP="00DC0FB2">
            <w:pPr>
              <w:pStyle w:val="TableParagraph"/>
              <w:spacing w:before="58" w:line="134" w:lineRule="exact"/>
              <w:ind w:left="465"/>
              <w:rPr>
                <w:sz w:val="12"/>
              </w:rPr>
            </w:pPr>
            <w:r>
              <w:rPr>
                <w:color w:val="231F20"/>
                <w:w w:val="97"/>
                <w:sz w:val="12"/>
              </w:rPr>
              <w:t>N</w:t>
            </w:r>
          </w:p>
        </w:tc>
        <w:tc>
          <w:tcPr>
            <w:tcW w:w="899" w:type="dxa"/>
          </w:tcPr>
          <w:p w:rsidR="000740F2" w:rsidRDefault="000740F2" w:rsidP="00DC0FB2">
            <w:pPr>
              <w:pStyle w:val="TableParagraph"/>
              <w:spacing w:before="58" w:line="134" w:lineRule="exact"/>
              <w:ind w:left="14"/>
              <w:rPr>
                <w:sz w:val="12"/>
              </w:rPr>
            </w:pPr>
            <w:r>
              <w:rPr>
                <w:color w:val="231F20"/>
                <w:w w:val="130"/>
                <w:sz w:val="12"/>
              </w:rPr>
              <w:t>21</w:t>
            </w:r>
          </w:p>
        </w:tc>
        <w:tc>
          <w:tcPr>
            <w:tcW w:w="1343" w:type="dxa"/>
          </w:tcPr>
          <w:p w:rsidR="000740F2" w:rsidRDefault="000740F2" w:rsidP="00DC0FB2">
            <w:pPr>
              <w:pStyle w:val="TableParagraph"/>
              <w:spacing w:before="58" w:line="134" w:lineRule="exact"/>
              <w:ind w:left="456"/>
              <w:rPr>
                <w:sz w:val="12"/>
              </w:rPr>
            </w:pPr>
            <w:r>
              <w:rPr>
                <w:color w:val="231F20"/>
                <w:w w:val="130"/>
                <w:sz w:val="12"/>
              </w:rPr>
              <w:t>70</w:t>
            </w:r>
          </w:p>
        </w:tc>
        <w:tc>
          <w:tcPr>
            <w:tcW w:w="885" w:type="dxa"/>
          </w:tcPr>
          <w:p w:rsidR="000740F2" w:rsidRDefault="000740F2" w:rsidP="00DC0FB2">
            <w:pPr>
              <w:pStyle w:val="TableParagraph"/>
              <w:spacing w:before="58" w:line="134" w:lineRule="exact"/>
              <w:ind w:left="455"/>
              <w:rPr>
                <w:sz w:val="12"/>
              </w:rPr>
            </w:pPr>
            <w:r>
              <w:rPr>
                <w:color w:val="231F20"/>
                <w:w w:val="130"/>
                <w:sz w:val="12"/>
              </w:rPr>
              <w:t>32</w:t>
            </w:r>
          </w:p>
        </w:tc>
        <w:tc>
          <w:tcPr>
            <w:tcW w:w="907" w:type="dxa"/>
          </w:tcPr>
          <w:p w:rsidR="000740F2" w:rsidRDefault="000740F2" w:rsidP="00DC0FB2">
            <w:pPr>
              <w:pStyle w:val="TableParagraph"/>
              <w:rPr>
                <w:rFonts w:ascii="Times New Roman"/>
                <w:sz w:val="14"/>
              </w:rPr>
            </w:pPr>
          </w:p>
        </w:tc>
        <w:tc>
          <w:tcPr>
            <w:tcW w:w="894" w:type="dxa"/>
          </w:tcPr>
          <w:p w:rsidR="000740F2" w:rsidRDefault="000740F2" w:rsidP="00DC0FB2">
            <w:pPr>
              <w:pStyle w:val="TableParagraph"/>
              <w:spacing w:before="58" w:line="134" w:lineRule="exact"/>
              <w:ind w:left="5"/>
              <w:rPr>
                <w:sz w:val="12"/>
              </w:rPr>
            </w:pPr>
            <w:r>
              <w:rPr>
                <w:color w:val="231F20"/>
                <w:w w:val="130"/>
                <w:sz w:val="12"/>
              </w:rPr>
              <w:t>20</w:t>
            </w:r>
          </w:p>
        </w:tc>
        <w:tc>
          <w:tcPr>
            <w:tcW w:w="1343" w:type="dxa"/>
          </w:tcPr>
          <w:p w:rsidR="000740F2" w:rsidRDefault="000740F2" w:rsidP="00DC0FB2">
            <w:pPr>
              <w:pStyle w:val="TableParagraph"/>
              <w:spacing w:before="58" w:line="134" w:lineRule="exact"/>
              <w:ind w:left="453"/>
              <w:rPr>
                <w:sz w:val="12"/>
              </w:rPr>
            </w:pPr>
            <w:r>
              <w:rPr>
                <w:color w:val="231F20"/>
                <w:w w:val="130"/>
                <w:sz w:val="12"/>
              </w:rPr>
              <w:t>36</w:t>
            </w:r>
          </w:p>
        </w:tc>
        <w:tc>
          <w:tcPr>
            <w:tcW w:w="889" w:type="dxa"/>
          </w:tcPr>
          <w:p w:rsidR="000740F2" w:rsidRDefault="000740F2" w:rsidP="00DC0FB2">
            <w:pPr>
              <w:pStyle w:val="TableParagraph"/>
              <w:spacing w:before="58" w:line="134" w:lineRule="exact"/>
              <w:ind w:left="451"/>
              <w:rPr>
                <w:sz w:val="12"/>
              </w:rPr>
            </w:pPr>
            <w:r>
              <w:rPr>
                <w:color w:val="231F20"/>
                <w:w w:val="130"/>
                <w:sz w:val="12"/>
              </w:rPr>
              <w:t>27</w:t>
            </w:r>
          </w:p>
        </w:tc>
        <w:tc>
          <w:tcPr>
            <w:tcW w:w="119" w:type="dxa"/>
          </w:tcPr>
          <w:p w:rsidR="000740F2" w:rsidRDefault="000740F2" w:rsidP="00DC0FB2">
            <w:pPr>
              <w:pStyle w:val="TableParagraph"/>
              <w:rPr>
                <w:rFonts w:ascii="Times New Roman"/>
                <w:sz w:val="14"/>
              </w:rPr>
            </w:pPr>
          </w:p>
        </w:tc>
      </w:tr>
      <w:tr w:rsidR="000740F2" w:rsidTr="000740F2">
        <w:trPr>
          <w:trHeight w:val="473"/>
        </w:trPr>
        <w:tc>
          <w:tcPr>
            <w:tcW w:w="120" w:type="dxa"/>
          </w:tcPr>
          <w:p w:rsidR="000740F2" w:rsidRDefault="000740F2" w:rsidP="00DC0FB2">
            <w:pPr>
              <w:pStyle w:val="TableParagraph"/>
              <w:rPr>
                <w:rFonts w:ascii="Times New Roman"/>
                <w:sz w:val="14"/>
              </w:rPr>
            </w:pPr>
          </w:p>
        </w:tc>
        <w:tc>
          <w:tcPr>
            <w:tcW w:w="1228" w:type="dxa"/>
          </w:tcPr>
          <w:p w:rsidR="000740F2" w:rsidRDefault="000740F2" w:rsidP="00DC0FB2">
            <w:pPr>
              <w:pStyle w:val="TableParagraph"/>
              <w:rPr>
                <w:rFonts w:ascii="Times New Roman"/>
                <w:sz w:val="14"/>
              </w:rPr>
            </w:pPr>
          </w:p>
        </w:tc>
        <w:tc>
          <w:tcPr>
            <w:tcW w:w="1793" w:type="dxa"/>
          </w:tcPr>
          <w:p w:rsidR="000740F2" w:rsidRDefault="000740F2" w:rsidP="00DC0FB2">
            <w:pPr>
              <w:pStyle w:val="TableParagraph"/>
              <w:spacing w:before="17" w:line="249" w:lineRule="auto"/>
              <w:ind w:left="465" w:right="977"/>
              <w:rPr>
                <w:rFonts w:ascii="Lucida Sans Unicode" w:hAnsi="Lucida Sans Unicode"/>
                <w:sz w:val="12"/>
              </w:rPr>
            </w:pPr>
            <w:r>
              <w:rPr>
                <w:color w:val="231F20"/>
                <w:w w:val="110"/>
                <w:sz w:val="12"/>
              </w:rPr>
              <w:t>Mean SD</w:t>
            </w:r>
            <w:r>
              <w:rPr>
                <w:rFonts w:ascii="Lucida Sans Unicode" w:hAnsi="Lucida Sans Unicode"/>
                <w:color w:val="231F20"/>
                <w:w w:val="110"/>
                <w:sz w:val="12"/>
              </w:rPr>
              <w:t>±</w:t>
            </w:r>
          </w:p>
          <w:p w:rsidR="000740F2" w:rsidRDefault="000740F2" w:rsidP="00DC0FB2">
            <w:pPr>
              <w:pStyle w:val="TableParagraph"/>
              <w:spacing w:line="89" w:lineRule="exact"/>
              <w:ind w:left="465"/>
              <w:rPr>
                <w:sz w:val="12"/>
              </w:rPr>
            </w:pPr>
            <w:r>
              <w:rPr>
                <w:color w:val="231F20"/>
                <w:w w:val="110"/>
                <w:sz w:val="12"/>
              </w:rPr>
              <w:t>P value</w:t>
            </w:r>
          </w:p>
        </w:tc>
        <w:tc>
          <w:tcPr>
            <w:tcW w:w="899" w:type="dxa"/>
          </w:tcPr>
          <w:p w:rsidR="000740F2" w:rsidRDefault="000740F2" w:rsidP="00DC0FB2">
            <w:pPr>
              <w:pStyle w:val="TableParagraph"/>
              <w:spacing w:before="17"/>
              <w:ind w:left="14"/>
              <w:rPr>
                <w:sz w:val="12"/>
              </w:rPr>
            </w:pPr>
            <w:r>
              <w:rPr>
                <w:color w:val="231F20"/>
                <w:w w:val="125"/>
                <w:sz w:val="12"/>
              </w:rPr>
              <w:t>26.72</w:t>
            </w:r>
          </w:p>
          <w:p w:rsidR="000740F2" w:rsidRDefault="000740F2" w:rsidP="00DC0FB2">
            <w:pPr>
              <w:pStyle w:val="TableParagraph"/>
              <w:spacing w:before="6"/>
              <w:ind w:left="14"/>
              <w:rPr>
                <w:sz w:val="12"/>
              </w:rPr>
            </w:pPr>
            <w:r>
              <w:rPr>
                <w:rFonts w:ascii="Lucida Sans Unicode" w:hAnsi="Lucida Sans Unicode"/>
                <w:color w:val="231F20"/>
                <w:w w:val="120"/>
                <w:sz w:val="12"/>
              </w:rPr>
              <w:t>±</w:t>
            </w:r>
            <w:r>
              <w:rPr>
                <w:color w:val="231F20"/>
                <w:w w:val="120"/>
                <w:sz w:val="12"/>
              </w:rPr>
              <w:t>4.71</w:t>
            </w:r>
          </w:p>
          <w:p w:rsidR="000740F2" w:rsidRDefault="000740F2" w:rsidP="00DC0FB2">
            <w:pPr>
              <w:pStyle w:val="TableParagraph"/>
              <w:spacing w:before="3" w:line="93" w:lineRule="exact"/>
              <w:ind w:left="14"/>
              <w:rPr>
                <w:sz w:val="12"/>
              </w:rPr>
            </w:pPr>
            <w:r>
              <w:rPr>
                <w:color w:val="231F20"/>
                <w:w w:val="125"/>
                <w:sz w:val="12"/>
              </w:rPr>
              <w:t>0.548</w:t>
            </w:r>
          </w:p>
        </w:tc>
        <w:tc>
          <w:tcPr>
            <w:tcW w:w="1343" w:type="dxa"/>
          </w:tcPr>
          <w:p w:rsidR="000740F2" w:rsidRDefault="000740F2" w:rsidP="00DC0FB2">
            <w:pPr>
              <w:pStyle w:val="TableParagraph"/>
              <w:spacing w:before="17"/>
              <w:ind w:left="340" w:right="428"/>
              <w:jc w:val="center"/>
              <w:rPr>
                <w:sz w:val="12"/>
              </w:rPr>
            </w:pPr>
            <w:r>
              <w:rPr>
                <w:color w:val="231F20"/>
                <w:w w:val="125"/>
                <w:sz w:val="12"/>
              </w:rPr>
              <w:t>25.49</w:t>
            </w:r>
          </w:p>
          <w:p w:rsidR="000740F2" w:rsidRDefault="000740F2" w:rsidP="00DC0FB2">
            <w:pPr>
              <w:pStyle w:val="TableParagraph"/>
              <w:spacing w:before="6"/>
              <w:ind w:left="362" w:right="428"/>
              <w:jc w:val="center"/>
              <w:rPr>
                <w:sz w:val="12"/>
              </w:rPr>
            </w:pPr>
            <w:r>
              <w:rPr>
                <w:rFonts w:ascii="Lucida Sans Unicode" w:hAnsi="Lucida Sans Unicode"/>
                <w:color w:val="231F20"/>
                <w:w w:val="120"/>
                <w:sz w:val="12"/>
              </w:rPr>
              <w:t>±</w:t>
            </w:r>
            <w:r>
              <w:rPr>
                <w:color w:val="231F20"/>
                <w:w w:val="120"/>
                <w:sz w:val="12"/>
              </w:rPr>
              <w:t>4.56</w:t>
            </w:r>
          </w:p>
        </w:tc>
        <w:tc>
          <w:tcPr>
            <w:tcW w:w="885" w:type="dxa"/>
          </w:tcPr>
          <w:p w:rsidR="000740F2" w:rsidRDefault="000740F2" w:rsidP="00DC0FB2">
            <w:pPr>
              <w:pStyle w:val="TableParagraph"/>
              <w:spacing w:before="17"/>
              <w:ind w:left="455"/>
              <w:rPr>
                <w:sz w:val="12"/>
              </w:rPr>
            </w:pPr>
            <w:r>
              <w:rPr>
                <w:color w:val="231F20"/>
                <w:w w:val="125"/>
                <w:sz w:val="12"/>
              </w:rPr>
              <w:t>25.87</w:t>
            </w:r>
          </w:p>
          <w:p w:rsidR="000740F2" w:rsidRDefault="000740F2" w:rsidP="00DC0FB2">
            <w:pPr>
              <w:pStyle w:val="TableParagraph"/>
              <w:spacing w:before="6"/>
              <w:ind w:left="455"/>
              <w:rPr>
                <w:sz w:val="12"/>
              </w:rPr>
            </w:pPr>
            <w:r>
              <w:rPr>
                <w:rFonts w:ascii="Lucida Sans Unicode" w:hAnsi="Lucida Sans Unicode"/>
                <w:color w:val="231F20"/>
                <w:w w:val="120"/>
                <w:sz w:val="12"/>
              </w:rPr>
              <w:t>±</w:t>
            </w:r>
            <w:r>
              <w:rPr>
                <w:color w:val="231F20"/>
                <w:w w:val="120"/>
                <w:sz w:val="12"/>
              </w:rPr>
              <w:t>4.24</w:t>
            </w:r>
          </w:p>
        </w:tc>
        <w:tc>
          <w:tcPr>
            <w:tcW w:w="907" w:type="dxa"/>
          </w:tcPr>
          <w:p w:rsidR="000740F2" w:rsidRDefault="000740F2" w:rsidP="00DC0FB2">
            <w:pPr>
              <w:pStyle w:val="TableParagraph"/>
              <w:rPr>
                <w:rFonts w:ascii="Times New Roman"/>
                <w:sz w:val="14"/>
              </w:rPr>
            </w:pPr>
          </w:p>
        </w:tc>
        <w:tc>
          <w:tcPr>
            <w:tcW w:w="894" w:type="dxa"/>
          </w:tcPr>
          <w:p w:rsidR="000740F2" w:rsidRDefault="000740F2" w:rsidP="00DC0FB2">
            <w:pPr>
              <w:pStyle w:val="TableParagraph"/>
              <w:spacing w:before="17"/>
              <w:ind w:left="5"/>
              <w:rPr>
                <w:sz w:val="12"/>
              </w:rPr>
            </w:pPr>
            <w:r>
              <w:rPr>
                <w:color w:val="231F20"/>
                <w:w w:val="125"/>
                <w:sz w:val="12"/>
              </w:rPr>
              <w:t>25.63</w:t>
            </w:r>
          </w:p>
          <w:p w:rsidR="000740F2" w:rsidRDefault="000740F2" w:rsidP="00DC0FB2">
            <w:pPr>
              <w:pStyle w:val="TableParagraph"/>
              <w:spacing w:before="6"/>
              <w:ind w:left="5"/>
              <w:rPr>
                <w:sz w:val="12"/>
              </w:rPr>
            </w:pPr>
            <w:r>
              <w:rPr>
                <w:rFonts w:ascii="Lucida Sans Unicode" w:hAnsi="Lucida Sans Unicode"/>
                <w:color w:val="231F20"/>
                <w:w w:val="120"/>
                <w:sz w:val="12"/>
              </w:rPr>
              <w:t>±</w:t>
            </w:r>
            <w:r>
              <w:rPr>
                <w:color w:val="231F20"/>
                <w:w w:val="120"/>
                <w:sz w:val="12"/>
              </w:rPr>
              <w:t>2.98</w:t>
            </w:r>
          </w:p>
        </w:tc>
        <w:tc>
          <w:tcPr>
            <w:tcW w:w="1343" w:type="dxa"/>
          </w:tcPr>
          <w:p w:rsidR="000740F2" w:rsidRDefault="000740F2" w:rsidP="00DC0FB2">
            <w:pPr>
              <w:pStyle w:val="TableParagraph"/>
              <w:spacing w:before="17"/>
              <w:ind w:left="332" w:right="428"/>
              <w:jc w:val="center"/>
              <w:rPr>
                <w:sz w:val="12"/>
              </w:rPr>
            </w:pPr>
            <w:r>
              <w:rPr>
                <w:color w:val="231F20"/>
                <w:w w:val="125"/>
                <w:sz w:val="12"/>
              </w:rPr>
              <w:t>26.79</w:t>
            </w:r>
          </w:p>
          <w:p w:rsidR="000740F2" w:rsidRDefault="000740F2" w:rsidP="00DC0FB2">
            <w:pPr>
              <w:pStyle w:val="TableParagraph"/>
              <w:spacing w:before="6"/>
              <w:ind w:left="354" w:right="428"/>
              <w:jc w:val="center"/>
              <w:rPr>
                <w:sz w:val="12"/>
              </w:rPr>
            </w:pPr>
            <w:r>
              <w:rPr>
                <w:rFonts w:ascii="Lucida Sans Unicode" w:hAnsi="Lucida Sans Unicode"/>
                <w:color w:val="231F20"/>
                <w:w w:val="120"/>
                <w:sz w:val="12"/>
              </w:rPr>
              <w:t>±</w:t>
            </w:r>
            <w:r>
              <w:rPr>
                <w:color w:val="231F20"/>
                <w:w w:val="120"/>
                <w:sz w:val="12"/>
              </w:rPr>
              <w:t>4.58</w:t>
            </w:r>
          </w:p>
        </w:tc>
        <w:tc>
          <w:tcPr>
            <w:tcW w:w="889" w:type="dxa"/>
          </w:tcPr>
          <w:p w:rsidR="000740F2" w:rsidRDefault="000740F2" w:rsidP="00DC0FB2">
            <w:pPr>
              <w:pStyle w:val="TableParagraph"/>
              <w:spacing w:before="17"/>
              <w:ind w:left="451"/>
              <w:rPr>
                <w:sz w:val="12"/>
              </w:rPr>
            </w:pPr>
            <w:r>
              <w:rPr>
                <w:color w:val="231F20"/>
                <w:w w:val="125"/>
                <w:sz w:val="12"/>
              </w:rPr>
              <w:t>25.52</w:t>
            </w:r>
          </w:p>
          <w:p w:rsidR="000740F2" w:rsidRDefault="000740F2" w:rsidP="00DC0FB2">
            <w:pPr>
              <w:pStyle w:val="TableParagraph"/>
              <w:spacing w:before="6"/>
              <w:ind w:left="451"/>
              <w:rPr>
                <w:sz w:val="12"/>
              </w:rPr>
            </w:pPr>
            <w:r>
              <w:rPr>
                <w:rFonts w:ascii="Lucida Sans Unicode" w:hAnsi="Lucida Sans Unicode"/>
                <w:color w:val="231F20"/>
                <w:w w:val="120"/>
                <w:sz w:val="12"/>
              </w:rPr>
              <w:t>±</w:t>
            </w:r>
            <w:r>
              <w:rPr>
                <w:color w:val="231F20"/>
                <w:w w:val="120"/>
                <w:sz w:val="12"/>
              </w:rPr>
              <w:t>4.62</w:t>
            </w:r>
          </w:p>
        </w:tc>
        <w:tc>
          <w:tcPr>
            <w:tcW w:w="119" w:type="dxa"/>
          </w:tcPr>
          <w:p w:rsidR="000740F2" w:rsidRDefault="000740F2" w:rsidP="00DC0FB2">
            <w:pPr>
              <w:pStyle w:val="TableParagraph"/>
              <w:rPr>
                <w:rFonts w:ascii="Times New Roman"/>
                <w:sz w:val="14"/>
              </w:rPr>
            </w:pPr>
          </w:p>
        </w:tc>
      </w:tr>
      <w:tr w:rsidR="000740F2" w:rsidTr="000740F2">
        <w:trPr>
          <w:trHeight w:val="212"/>
        </w:trPr>
        <w:tc>
          <w:tcPr>
            <w:tcW w:w="120" w:type="dxa"/>
          </w:tcPr>
          <w:p w:rsidR="000740F2" w:rsidRDefault="000740F2" w:rsidP="00DC0FB2">
            <w:pPr>
              <w:pStyle w:val="TableParagraph"/>
              <w:rPr>
                <w:rFonts w:ascii="Times New Roman"/>
                <w:sz w:val="14"/>
              </w:rPr>
            </w:pPr>
          </w:p>
        </w:tc>
        <w:tc>
          <w:tcPr>
            <w:tcW w:w="1228" w:type="dxa"/>
          </w:tcPr>
          <w:p w:rsidR="000740F2" w:rsidRDefault="000740F2" w:rsidP="00DC0FB2">
            <w:pPr>
              <w:pStyle w:val="TableParagraph"/>
              <w:spacing w:before="58" w:line="134" w:lineRule="exact"/>
              <w:ind w:left="-1"/>
              <w:rPr>
                <w:sz w:val="12"/>
              </w:rPr>
            </w:pPr>
            <w:r>
              <w:rPr>
                <w:color w:val="231F20"/>
                <w:w w:val="115"/>
                <w:sz w:val="12"/>
              </w:rPr>
              <w:t>Height (cm)</w:t>
            </w:r>
          </w:p>
        </w:tc>
        <w:tc>
          <w:tcPr>
            <w:tcW w:w="1793" w:type="dxa"/>
          </w:tcPr>
          <w:p w:rsidR="000740F2" w:rsidRDefault="000740F2" w:rsidP="00DC0FB2">
            <w:pPr>
              <w:pStyle w:val="TableParagraph"/>
              <w:spacing w:before="58" w:line="134" w:lineRule="exact"/>
              <w:ind w:left="465"/>
              <w:rPr>
                <w:sz w:val="12"/>
              </w:rPr>
            </w:pPr>
            <w:r>
              <w:rPr>
                <w:color w:val="231F20"/>
                <w:w w:val="97"/>
                <w:sz w:val="12"/>
              </w:rPr>
              <w:t>N</w:t>
            </w:r>
          </w:p>
        </w:tc>
        <w:tc>
          <w:tcPr>
            <w:tcW w:w="899" w:type="dxa"/>
          </w:tcPr>
          <w:p w:rsidR="000740F2" w:rsidRDefault="000740F2" w:rsidP="00DC0FB2">
            <w:pPr>
              <w:pStyle w:val="TableParagraph"/>
              <w:spacing w:before="58" w:line="134" w:lineRule="exact"/>
              <w:ind w:left="14"/>
              <w:rPr>
                <w:sz w:val="12"/>
              </w:rPr>
            </w:pPr>
            <w:r>
              <w:rPr>
                <w:color w:val="231F20"/>
                <w:w w:val="130"/>
                <w:sz w:val="12"/>
              </w:rPr>
              <w:t>21</w:t>
            </w:r>
          </w:p>
        </w:tc>
        <w:tc>
          <w:tcPr>
            <w:tcW w:w="1343" w:type="dxa"/>
          </w:tcPr>
          <w:p w:rsidR="000740F2" w:rsidRDefault="000740F2" w:rsidP="00DC0FB2">
            <w:pPr>
              <w:pStyle w:val="TableParagraph"/>
              <w:spacing w:before="58" w:line="134" w:lineRule="exact"/>
              <w:ind w:left="456"/>
              <w:rPr>
                <w:sz w:val="12"/>
              </w:rPr>
            </w:pPr>
            <w:r>
              <w:rPr>
                <w:color w:val="231F20"/>
                <w:w w:val="130"/>
                <w:sz w:val="12"/>
              </w:rPr>
              <w:t>70</w:t>
            </w:r>
          </w:p>
        </w:tc>
        <w:tc>
          <w:tcPr>
            <w:tcW w:w="885" w:type="dxa"/>
          </w:tcPr>
          <w:p w:rsidR="000740F2" w:rsidRDefault="000740F2" w:rsidP="00DC0FB2">
            <w:pPr>
              <w:pStyle w:val="TableParagraph"/>
              <w:spacing w:before="58" w:line="134" w:lineRule="exact"/>
              <w:ind w:left="455"/>
              <w:rPr>
                <w:sz w:val="12"/>
              </w:rPr>
            </w:pPr>
            <w:r>
              <w:rPr>
                <w:color w:val="231F20"/>
                <w:w w:val="130"/>
                <w:sz w:val="12"/>
              </w:rPr>
              <w:t>32</w:t>
            </w:r>
          </w:p>
        </w:tc>
        <w:tc>
          <w:tcPr>
            <w:tcW w:w="907" w:type="dxa"/>
          </w:tcPr>
          <w:p w:rsidR="000740F2" w:rsidRDefault="000740F2" w:rsidP="00DC0FB2">
            <w:pPr>
              <w:pStyle w:val="TableParagraph"/>
              <w:rPr>
                <w:rFonts w:ascii="Times New Roman"/>
                <w:sz w:val="14"/>
              </w:rPr>
            </w:pPr>
          </w:p>
        </w:tc>
        <w:tc>
          <w:tcPr>
            <w:tcW w:w="894" w:type="dxa"/>
          </w:tcPr>
          <w:p w:rsidR="000740F2" w:rsidRDefault="000740F2" w:rsidP="00DC0FB2">
            <w:pPr>
              <w:pStyle w:val="TableParagraph"/>
              <w:spacing w:before="58" w:line="134" w:lineRule="exact"/>
              <w:ind w:left="5"/>
              <w:rPr>
                <w:sz w:val="12"/>
              </w:rPr>
            </w:pPr>
            <w:r>
              <w:rPr>
                <w:color w:val="231F20"/>
                <w:w w:val="130"/>
                <w:sz w:val="12"/>
              </w:rPr>
              <w:t>23</w:t>
            </w:r>
          </w:p>
        </w:tc>
        <w:tc>
          <w:tcPr>
            <w:tcW w:w="1343" w:type="dxa"/>
          </w:tcPr>
          <w:p w:rsidR="000740F2" w:rsidRDefault="000740F2" w:rsidP="00DC0FB2">
            <w:pPr>
              <w:pStyle w:val="TableParagraph"/>
              <w:spacing w:before="58" w:line="134" w:lineRule="exact"/>
              <w:ind w:left="453"/>
              <w:rPr>
                <w:sz w:val="12"/>
              </w:rPr>
            </w:pPr>
            <w:r>
              <w:rPr>
                <w:color w:val="231F20"/>
                <w:w w:val="130"/>
                <w:sz w:val="12"/>
              </w:rPr>
              <w:t>62</w:t>
            </w:r>
          </w:p>
        </w:tc>
        <w:tc>
          <w:tcPr>
            <w:tcW w:w="889" w:type="dxa"/>
          </w:tcPr>
          <w:p w:rsidR="000740F2" w:rsidRDefault="000740F2" w:rsidP="00DC0FB2">
            <w:pPr>
              <w:pStyle w:val="TableParagraph"/>
              <w:spacing w:before="58" w:line="134" w:lineRule="exact"/>
              <w:ind w:left="451"/>
              <w:rPr>
                <w:sz w:val="12"/>
              </w:rPr>
            </w:pPr>
            <w:r>
              <w:rPr>
                <w:color w:val="231F20"/>
                <w:w w:val="130"/>
                <w:sz w:val="12"/>
              </w:rPr>
              <w:t>31</w:t>
            </w:r>
          </w:p>
        </w:tc>
        <w:tc>
          <w:tcPr>
            <w:tcW w:w="119" w:type="dxa"/>
          </w:tcPr>
          <w:p w:rsidR="000740F2" w:rsidRDefault="000740F2" w:rsidP="00DC0FB2">
            <w:pPr>
              <w:pStyle w:val="TableParagraph"/>
              <w:rPr>
                <w:rFonts w:ascii="Times New Roman"/>
                <w:sz w:val="14"/>
              </w:rPr>
            </w:pPr>
          </w:p>
        </w:tc>
      </w:tr>
      <w:tr w:rsidR="000740F2" w:rsidTr="000740F2">
        <w:trPr>
          <w:trHeight w:val="468"/>
        </w:trPr>
        <w:tc>
          <w:tcPr>
            <w:tcW w:w="120" w:type="dxa"/>
          </w:tcPr>
          <w:p w:rsidR="000740F2" w:rsidRDefault="000740F2" w:rsidP="00DC0FB2">
            <w:pPr>
              <w:pStyle w:val="TableParagraph"/>
              <w:rPr>
                <w:rFonts w:ascii="Times New Roman"/>
                <w:sz w:val="14"/>
              </w:rPr>
            </w:pPr>
          </w:p>
        </w:tc>
        <w:tc>
          <w:tcPr>
            <w:tcW w:w="1228" w:type="dxa"/>
          </w:tcPr>
          <w:p w:rsidR="000740F2" w:rsidRDefault="000740F2" w:rsidP="00DC0FB2">
            <w:pPr>
              <w:pStyle w:val="TableParagraph"/>
              <w:rPr>
                <w:rFonts w:ascii="Times New Roman"/>
                <w:sz w:val="14"/>
              </w:rPr>
            </w:pPr>
          </w:p>
        </w:tc>
        <w:tc>
          <w:tcPr>
            <w:tcW w:w="1793" w:type="dxa"/>
          </w:tcPr>
          <w:p w:rsidR="000740F2" w:rsidRDefault="000740F2" w:rsidP="00DC0FB2">
            <w:pPr>
              <w:pStyle w:val="TableParagraph"/>
              <w:spacing w:before="17" w:line="249" w:lineRule="auto"/>
              <w:ind w:left="465" w:right="977"/>
              <w:rPr>
                <w:rFonts w:ascii="Lucida Sans Unicode" w:hAnsi="Lucida Sans Unicode"/>
                <w:sz w:val="12"/>
              </w:rPr>
            </w:pPr>
            <w:r>
              <w:rPr>
                <w:color w:val="231F20"/>
                <w:w w:val="110"/>
                <w:sz w:val="12"/>
              </w:rPr>
              <w:t>Mean SD</w:t>
            </w:r>
            <w:r>
              <w:rPr>
                <w:rFonts w:ascii="Lucida Sans Unicode" w:hAnsi="Lucida Sans Unicode"/>
                <w:color w:val="231F20"/>
                <w:w w:val="110"/>
                <w:sz w:val="12"/>
              </w:rPr>
              <w:t>±</w:t>
            </w:r>
          </w:p>
          <w:p w:rsidR="000740F2" w:rsidRDefault="000740F2" w:rsidP="00DC0FB2">
            <w:pPr>
              <w:pStyle w:val="TableParagraph"/>
              <w:spacing w:line="85" w:lineRule="exact"/>
              <w:ind w:left="465"/>
              <w:rPr>
                <w:sz w:val="12"/>
              </w:rPr>
            </w:pPr>
            <w:r>
              <w:rPr>
                <w:color w:val="231F20"/>
                <w:w w:val="110"/>
                <w:sz w:val="12"/>
              </w:rPr>
              <w:t>P value</w:t>
            </w:r>
          </w:p>
        </w:tc>
        <w:tc>
          <w:tcPr>
            <w:tcW w:w="899" w:type="dxa"/>
          </w:tcPr>
          <w:p w:rsidR="000740F2" w:rsidRDefault="000740F2" w:rsidP="00DC0FB2">
            <w:pPr>
              <w:pStyle w:val="TableParagraph"/>
              <w:spacing w:before="17"/>
              <w:ind w:left="14"/>
              <w:rPr>
                <w:sz w:val="12"/>
              </w:rPr>
            </w:pPr>
            <w:r>
              <w:rPr>
                <w:color w:val="231F20"/>
                <w:w w:val="125"/>
                <w:sz w:val="12"/>
              </w:rPr>
              <w:t>179.67</w:t>
            </w:r>
          </w:p>
          <w:p w:rsidR="000740F2" w:rsidRDefault="000740F2" w:rsidP="00DC0FB2">
            <w:pPr>
              <w:pStyle w:val="TableParagraph"/>
              <w:spacing w:before="6"/>
              <w:ind w:left="14"/>
              <w:rPr>
                <w:sz w:val="12"/>
              </w:rPr>
            </w:pPr>
            <w:r>
              <w:rPr>
                <w:rFonts w:ascii="Lucida Sans Unicode" w:hAnsi="Lucida Sans Unicode"/>
                <w:color w:val="231F20"/>
                <w:w w:val="120"/>
                <w:sz w:val="12"/>
              </w:rPr>
              <w:t>±</w:t>
            </w:r>
            <w:r>
              <w:rPr>
                <w:color w:val="231F20"/>
                <w:w w:val="120"/>
                <w:sz w:val="12"/>
              </w:rPr>
              <w:t>7.90</w:t>
            </w:r>
          </w:p>
          <w:p w:rsidR="000740F2" w:rsidRDefault="000740F2" w:rsidP="00DC0FB2">
            <w:pPr>
              <w:pStyle w:val="TableParagraph"/>
              <w:spacing w:before="3" w:line="89" w:lineRule="exact"/>
              <w:ind w:left="14"/>
              <w:rPr>
                <w:sz w:val="12"/>
              </w:rPr>
            </w:pPr>
            <w:r>
              <w:rPr>
                <w:color w:val="231F20"/>
                <w:w w:val="125"/>
                <w:sz w:val="12"/>
              </w:rPr>
              <w:t>0.029</w:t>
            </w:r>
          </w:p>
        </w:tc>
        <w:tc>
          <w:tcPr>
            <w:tcW w:w="1343" w:type="dxa"/>
          </w:tcPr>
          <w:p w:rsidR="000740F2" w:rsidRDefault="000740F2" w:rsidP="00DC0FB2">
            <w:pPr>
              <w:pStyle w:val="TableParagraph"/>
              <w:spacing w:before="17"/>
              <w:ind w:left="416" w:right="428"/>
              <w:jc w:val="center"/>
              <w:rPr>
                <w:sz w:val="12"/>
              </w:rPr>
            </w:pPr>
            <w:r>
              <w:rPr>
                <w:color w:val="231F20"/>
                <w:w w:val="125"/>
                <w:sz w:val="12"/>
              </w:rPr>
              <w:t>173.04</w:t>
            </w:r>
          </w:p>
          <w:p w:rsidR="000740F2" w:rsidRDefault="000740F2" w:rsidP="00DC0FB2">
            <w:pPr>
              <w:pStyle w:val="TableParagraph"/>
              <w:spacing w:before="6"/>
              <w:ind w:left="431" w:right="423"/>
              <w:jc w:val="center"/>
              <w:rPr>
                <w:sz w:val="12"/>
              </w:rPr>
            </w:pPr>
            <w:r>
              <w:rPr>
                <w:rFonts w:ascii="Lucida Sans Unicode" w:hAnsi="Lucida Sans Unicode"/>
                <w:color w:val="231F20"/>
                <w:w w:val="120"/>
                <w:sz w:val="12"/>
              </w:rPr>
              <w:t>±</w:t>
            </w:r>
            <w:r>
              <w:rPr>
                <w:color w:val="231F20"/>
                <w:w w:val="120"/>
                <w:sz w:val="12"/>
              </w:rPr>
              <w:t>10.37</w:t>
            </w:r>
          </w:p>
        </w:tc>
        <w:tc>
          <w:tcPr>
            <w:tcW w:w="885" w:type="dxa"/>
          </w:tcPr>
          <w:p w:rsidR="000740F2" w:rsidRDefault="000740F2" w:rsidP="00DC0FB2">
            <w:pPr>
              <w:pStyle w:val="TableParagraph"/>
              <w:spacing w:before="17"/>
              <w:ind w:left="455"/>
              <w:rPr>
                <w:sz w:val="12"/>
              </w:rPr>
            </w:pPr>
            <w:r>
              <w:rPr>
                <w:color w:val="231F20"/>
                <w:w w:val="125"/>
                <w:sz w:val="12"/>
              </w:rPr>
              <w:t>176.03</w:t>
            </w:r>
          </w:p>
          <w:p w:rsidR="000740F2" w:rsidRDefault="000740F2" w:rsidP="00DC0FB2">
            <w:pPr>
              <w:pStyle w:val="TableParagraph"/>
              <w:spacing w:before="6"/>
              <w:ind w:left="455" w:right="-15"/>
              <w:rPr>
                <w:sz w:val="12"/>
              </w:rPr>
            </w:pPr>
            <w:r>
              <w:rPr>
                <w:rFonts w:ascii="Lucida Sans Unicode" w:hAnsi="Lucida Sans Unicode"/>
                <w:color w:val="231F20"/>
                <w:spacing w:val="-1"/>
                <w:w w:val="120"/>
                <w:sz w:val="12"/>
              </w:rPr>
              <w:t>±</w:t>
            </w:r>
            <w:r>
              <w:rPr>
                <w:color w:val="231F20"/>
                <w:spacing w:val="-1"/>
                <w:w w:val="120"/>
                <w:sz w:val="12"/>
              </w:rPr>
              <w:t>11.05</w:t>
            </w:r>
          </w:p>
        </w:tc>
        <w:tc>
          <w:tcPr>
            <w:tcW w:w="907" w:type="dxa"/>
          </w:tcPr>
          <w:p w:rsidR="000740F2" w:rsidRDefault="000740F2" w:rsidP="00DC0FB2">
            <w:pPr>
              <w:pStyle w:val="TableParagraph"/>
              <w:rPr>
                <w:rFonts w:ascii="Times New Roman"/>
                <w:sz w:val="14"/>
              </w:rPr>
            </w:pPr>
          </w:p>
        </w:tc>
        <w:tc>
          <w:tcPr>
            <w:tcW w:w="894" w:type="dxa"/>
          </w:tcPr>
          <w:p w:rsidR="000740F2" w:rsidRDefault="000740F2" w:rsidP="00DC0FB2">
            <w:pPr>
              <w:pStyle w:val="TableParagraph"/>
              <w:spacing w:before="17"/>
              <w:ind w:left="5"/>
              <w:rPr>
                <w:sz w:val="12"/>
              </w:rPr>
            </w:pPr>
            <w:r>
              <w:rPr>
                <w:color w:val="231F20"/>
                <w:w w:val="125"/>
                <w:sz w:val="12"/>
              </w:rPr>
              <w:t>172.52</w:t>
            </w:r>
          </w:p>
          <w:p w:rsidR="000740F2" w:rsidRDefault="000740F2" w:rsidP="00DC0FB2">
            <w:pPr>
              <w:pStyle w:val="TableParagraph"/>
              <w:spacing w:before="6"/>
              <w:ind w:left="5"/>
              <w:rPr>
                <w:sz w:val="12"/>
              </w:rPr>
            </w:pPr>
            <w:r>
              <w:rPr>
                <w:rFonts w:ascii="Lucida Sans Unicode" w:hAnsi="Lucida Sans Unicode"/>
                <w:color w:val="231F20"/>
                <w:w w:val="120"/>
                <w:sz w:val="12"/>
              </w:rPr>
              <w:t>±</w:t>
            </w:r>
            <w:r>
              <w:rPr>
                <w:color w:val="231F20"/>
                <w:w w:val="120"/>
                <w:sz w:val="12"/>
              </w:rPr>
              <w:t>11.79</w:t>
            </w:r>
          </w:p>
        </w:tc>
        <w:tc>
          <w:tcPr>
            <w:tcW w:w="1343" w:type="dxa"/>
          </w:tcPr>
          <w:p w:rsidR="000740F2" w:rsidRDefault="000740F2" w:rsidP="00DC0FB2">
            <w:pPr>
              <w:pStyle w:val="TableParagraph"/>
              <w:spacing w:before="17"/>
              <w:ind w:left="408" w:right="428"/>
              <w:jc w:val="center"/>
              <w:rPr>
                <w:sz w:val="12"/>
              </w:rPr>
            </w:pPr>
            <w:r>
              <w:rPr>
                <w:color w:val="231F20"/>
                <w:w w:val="125"/>
                <w:sz w:val="12"/>
              </w:rPr>
              <w:t>172.68</w:t>
            </w:r>
          </w:p>
          <w:p w:rsidR="000740F2" w:rsidRDefault="000740F2" w:rsidP="00DC0FB2">
            <w:pPr>
              <w:pStyle w:val="TableParagraph"/>
              <w:spacing w:before="6"/>
              <w:ind w:left="354" w:right="428"/>
              <w:jc w:val="center"/>
              <w:rPr>
                <w:sz w:val="12"/>
              </w:rPr>
            </w:pPr>
            <w:r>
              <w:rPr>
                <w:rFonts w:ascii="Lucida Sans Unicode" w:hAnsi="Lucida Sans Unicode"/>
                <w:color w:val="231F20"/>
                <w:w w:val="120"/>
                <w:sz w:val="12"/>
              </w:rPr>
              <w:t>±</w:t>
            </w:r>
            <w:r>
              <w:rPr>
                <w:color w:val="231F20"/>
                <w:w w:val="120"/>
                <w:sz w:val="12"/>
              </w:rPr>
              <w:t>8.65</w:t>
            </w:r>
          </w:p>
        </w:tc>
        <w:tc>
          <w:tcPr>
            <w:tcW w:w="889" w:type="dxa"/>
          </w:tcPr>
          <w:p w:rsidR="000740F2" w:rsidRDefault="000740F2" w:rsidP="00DC0FB2">
            <w:pPr>
              <w:pStyle w:val="TableParagraph"/>
              <w:spacing w:before="17"/>
              <w:ind w:left="451"/>
              <w:rPr>
                <w:sz w:val="12"/>
              </w:rPr>
            </w:pPr>
            <w:r>
              <w:rPr>
                <w:color w:val="231F20"/>
                <w:w w:val="125"/>
                <w:sz w:val="12"/>
              </w:rPr>
              <w:t>171.77</w:t>
            </w:r>
          </w:p>
          <w:p w:rsidR="000740F2" w:rsidRDefault="000740F2" w:rsidP="00DC0FB2">
            <w:pPr>
              <w:pStyle w:val="TableParagraph"/>
              <w:spacing w:before="6"/>
              <w:ind w:left="451" w:right="-15"/>
              <w:rPr>
                <w:sz w:val="12"/>
              </w:rPr>
            </w:pPr>
            <w:r>
              <w:rPr>
                <w:rFonts w:ascii="Lucida Sans Unicode" w:hAnsi="Lucida Sans Unicode"/>
                <w:color w:val="231F20"/>
                <w:w w:val="120"/>
                <w:sz w:val="12"/>
              </w:rPr>
              <w:t>±</w:t>
            </w:r>
            <w:r>
              <w:rPr>
                <w:color w:val="231F20"/>
                <w:w w:val="120"/>
                <w:sz w:val="12"/>
              </w:rPr>
              <w:t>10.48</w:t>
            </w:r>
          </w:p>
        </w:tc>
        <w:tc>
          <w:tcPr>
            <w:tcW w:w="119" w:type="dxa"/>
          </w:tcPr>
          <w:p w:rsidR="000740F2" w:rsidRDefault="000740F2" w:rsidP="00DC0FB2">
            <w:pPr>
              <w:pStyle w:val="TableParagraph"/>
              <w:rPr>
                <w:rFonts w:ascii="Times New Roman"/>
                <w:sz w:val="14"/>
              </w:rPr>
            </w:pPr>
          </w:p>
        </w:tc>
      </w:tr>
      <w:tr w:rsidR="000740F2" w:rsidTr="000740F2">
        <w:trPr>
          <w:trHeight w:val="216"/>
        </w:trPr>
        <w:tc>
          <w:tcPr>
            <w:tcW w:w="120" w:type="dxa"/>
          </w:tcPr>
          <w:p w:rsidR="000740F2" w:rsidRDefault="000740F2" w:rsidP="00DC0FB2">
            <w:pPr>
              <w:pStyle w:val="TableParagraph"/>
              <w:rPr>
                <w:rFonts w:ascii="Times New Roman"/>
                <w:sz w:val="14"/>
              </w:rPr>
            </w:pPr>
          </w:p>
        </w:tc>
        <w:tc>
          <w:tcPr>
            <w:tcW w:w="1228" w:type="dxa"/>
          </w:tcPr>
          <w:p w:rsidR="000740F2" w:rsidRDefault="000740F2" w:rsidP="00DC0FB2">
            <w:pPr>
              <w:pStyle w:val="TableParagraph"/>
              <w:spacing w:before="41" w:line="155" w:lineRule="exact"/>
              <w:ind w:left="-1"/>
              <w:rPr>
                <w:sz w:val="9"/>
              </w:rPr>
            </w:pPr>
            <w:r>
              <w:rPr>
                <w:color w:val="231F20"/>
                <w:w w:val="115"/>
                <w:sz w:val="12"/>
              </w:rPr>
              <w:t>Weight (kg)</w:t>
            </w:r>
            <w:r>
              <w:rPr>
                <w:color w:val="231F20"/>
                <w:w w:val="115"/>
                <w:position w:val="5"/>
                <w:sz w:val="9"/>
              </w:rPr>
              <w:t>b</w:t>
            </w:r>
          </w:p>
        </w:tc>
        <w:tc>
          <w:tcPr>
            <w:tcW w:w="1793" w:type="dxa"/>
          </w:tcPr>
          <w:p w:rsidR="000740F2" w:rsidRDefault="000740F2" w:rsidP="00DC0FB2">
            <w:pPr>
              <w:pStyle w:val="TableParagraph"/>
              <w:spacing w:before="62" w:line="134" w:lineRule="exact"/>
              <w:ind w:left="465"/>
              <w:rPr>
                <w:sz w:val="12"/>
              </w:rPr>
            </w:pPr>
            <w:r>
              <w:rPr>
                <w:color w:val="231F20"/>
                <w:w w:val="97"/>
                <w:sz w:val="12"/>
              </w:rPr>
              <w:t>N</w:t>
            </w:r>
          </w:p>
        </w:tc>
        <w:tc>
          <w:tcPr>
            <w:tcW w:w="899" w:type="dxa"/>
          </w:tcPr>
          <w:p w:rsidR="000740F2" w:rsidRDefault="000740F2" w:rsidP="00DC0FB2">
            <w:pPr>
              <w:pStyle w:val="TableParagraph"/>
              <w:spacing w:before="62" w:line="134" w:lineRule="exact"/>
              <w:ind w:left="14"/>
              <w:rPr>
                <w:sz w:val="12"/>
              </w:rPr>
            </w:pPr>
            <w:r>
              <w:rPr>
                <w:color w:val="231F20"/>
                <w:w w:val="130"/>
                <w:sz w:val="12"/>
              </w:rPr>
              <w:t>21</w:t>
            </w:r>
          </w:p>
        </w:tc>
        <w:tc>
          <w:tcPr>
            <w:tcW w:w="1343" w:type="dxa"/>
          </w:tcPr>
          <w:p w:rsidR="000740F2" w:rsidRDefault="000740F2" w:rsidP="00DC0FB2">
            <w:pPr>
              <w:pStyle w:val="TableParagraph"/>
              <w:spacing w:before="62" w:line="134" w:lineRule="exact"/>
              <w:ind w:left="456"/>
              <w:rPr>
                <w:sz w:val="12"/>
              </w:rPr>
            </w:pPr>
            <w:r>
              <w:rPr>
                <w:color w:val="231F20"/>
                <w:w w:val="130"/>
                <w:sz w:val="12"/>
              </w:rPr>
              <w:t>70</w:t>
            </w:r>
          </w:p>
        </w:tc>
        <w:tc>
          <w:tcPr>
            <w:tcW w:w="885" w:type="dxa"/>
          </w:tcPr>
          <w:p w:rsidR="000740F2" w:rsidRDefault="000740F2" w:rsidP="00DC0FB2">
            <w:pPr>
              <w:pStyle w:val="TableParagraph"/>
              <w:spacing w:before="62" w:line="134" w:lineRule="exact"/>
              <w:ind w:left="455"/>
              <w:rPr>
                <w:sz w:val="12"/>
              </w:rPr>
            </w:pPr>
            <w:r>
              <w:rPr>
                <w:color w:val="231F20"/>
                <w:w w:val="130"/>
                <w:sz w:val="12"/>
              </w:rPr>
              <w:t>33</w:t>
            </w:r>
          </w:p>
        </w:tc>
        <w:tc>
          <w:tcPr>
            <w:tcW w:w="907" w:type="dxa"/>
          </w:tcPr>
          <w:p w:rsidR="000740F2" w:rsidRDefault="000740F2" w:rsidP="00DC0FB2">
            <w:pPr>
              <w:pStyle w:val="TableParagraph"/>
              <w:rPr>
                <w:rFonts w:ascii="Times New Roman"/>
                <w:sz w:val="14"/>
              </w:rPr>
            </w:pPr>
          </w:p>
        </w:tc>
        <w:tc>
          <w:tcPr>
            <w:tcW w:w="894" w:type="dxa"/>
          </w:tcPr>
          <w:p w:rsidR="000740F2" w:rsidRDefault="000740F2" w:rsidP="00DC0FB2">
            <w:pPr>
              <w:pStyle w:val="TableParagraph"/>
              <w:spacing w:before="62" w:line="134" w:lineRule="exact"/>
              <w:ind w:left="5"/>
              <w:rPr>
                <w:sz w:val="12"/>
              </w:rPr>
            </w:pPr>
            <w:r>
              <w:rPr>
                <w:color w:val="231F20"/>
                <w:w w:val="130"/>
                <w:sz w:val="12"/>
              </w:rPr>
              <w:t>20</w:t>
            </w:r>
          </w:p>
        </w:tc>
        <w:tc>
          <w:tcPr>
            <w:tcW w:w="1343" w:type="dxa"/>
          </w:tcPr>
          <w:p w:rsidR="000740F2" w:rsidRDefault="000740F2" w:rsidP="00DC0FB2">
            <w:pPr>
              <w:pStyle w:val="TableParagraph"/>
              <w:spacing w:before="62" w:line="134" w:lineRule="exact"/>
              <w:ind w:left="453"/>
              <w:rPr>
                <w:sz w:val="12"/>
              </w:rPr>
            </w:pPr>
            <w:r>
              <w:rPr>
                <w:color w:val="231F20"/>
                <w:w w:val="130"/>
                <w:sz w:val="12"/>
              </w:rPr>
              <w:t>36</w:t>
            </w:r>
          </w:p>
        </w:tc>
        <w:tc>
          <w:tcPr>
            <w:tcW w:w="889" w:type="dxa"/>
          </w:tcPr>
          <w:p w:rsidR="000740F2" w:rsidRDefault="000740F2" w:rsidP="00DC0FB2">
            <w:pPr>
              <w:pStyle w:val="TableParagraph"/>
              <w:spacing w:before="62" w:line="134" w:lineRule="exact"/>
              <w:ind w:left="451"/>
              <w:rPr>
                <w:sz w:val="12"/>
              </w:rPr>
            </w:pPr>
            <w:r>
              <w:rPr>
                <w:color w:val="231F20"/>
                <w:w w:val="130"/>
                <w:sz w:val="12"/>
              </w:rPr>
              <w:t>27</w:t>
            </w:r>
          </w:p>
        </w:tc>
        <w:tc>
          <w:tcPr>
            <w:tcW w:w="119" w:type="dxa"/>
          </w:tcPr>
          <w:p w:rsidR="000740F2" w:rsidRDefault="000740F2" w:rsidP="00DC0FB2">
            <w:pPr>
              <w:pStyle w:val="TableParagraph"/>
              <w:rPr>
                <w:rFonts w:ascii="Times New Roman"/>
                <w:sz w:val="14"/>
              </w:rPr>
            </w:pPr>
          </w:p>
        </w:tc>
      </w:tr>
      <w:tr w:rsidR="000740F2" w:rsidTr="000740F2">
        <w:trPr>
          <w:trHeight w:val="557"/>
        </w:trPr>
        <w:tc>
          <w:tcPr>
            <w:tcW w:w="120" w:type="dxa"/>
            <w:tcBorders>
              <w:bottom w:val="single" w:sz="4" w:space="0" w:color="231F20"/>
            </w:tcBorders>
          </w:tcPr>
          <w:p w:rsidR="000740F2" w:rsidRDefault="000740F2" w:rsidP="00DC0FB2">
            <w:pPr>
              <w:pStyle w:val="TableParagraph"/>
              <w:rPr>
                <w:rFonts w:ascii="Times New Roman"/>
                <w:sz w:val="14"/>
              </w:rPr>
            </w:pPr>
          </w:p>
        </w:tc>
        <w:tc>
          <w:tcPr>
            <w:tcW w:w="1228" w:type="dxa"/>
            <w:tcBorders>
              <w:bottom w:val="single" w:sz="4" w:space="0" w:color="231F20"/>
            </w:tcBorders>
          </w:tcPr>
          <w:p w:rsidR="000740F2" w:rsidRDefault="000740F2" w:rsidP="00DC0FB2">
            <w:pPr>
              <w:pStyle w:val="TableParagraph"/>
              <w:rPr>
                <w:rFonts w:ascii="Times New Roman"/>
                <w:sz w:val="14"/>
              </w:rPr>
            </w:pPr>
          </w:p>
        </w:tc>
        <w:tc>
          <w:tcPr>
            <w:tcW w:w="1793" w:type="dxa"/>
            <w:tcBorders>
              <w:bottom w:val="single" w:sz="4" w:space="0" w:color="231F20"/>
            </w:tcBorders>
          </w:tcPr>
          <w:p w:rsidR="000740F2" w:rsidRDefault="000740F2" w:rsidP="00DC0FB2">
            <w:pPr>
              <w:pStyle w:val="TableParagraph"/>
              <w:spacing w:before="17" w:line="249" w:lineRule="auto"/>
              <w:ind w:left="465" w:right="977"/>
              <w:rPr>
                <w:rFonts w:ascii="Lucida Sans Unicode" w:hAnsi="Lucida Sans Unicode"/>
                <w:sz w:val="12"/>
              </w:rPr>
            </w:pPr>
            <w:r>
              <w:rPr>
                <w:color w:val="231F20"/>
                <w:w w:val="110"/>
                <w:sz w:val="12"/>
              </w:rPr>
              <w:t>Mean SD</w:t>
            </w:r>
            <w:r>
              <w:rPr>
                <w:rFonts w:ascii="Lucida Sans Unicode" w:hAnsi="Lucida Sans Unicode"/>
                <w:color w:val="231F20"/>
                <w:w w:val="110"/>
                <w:sz w:val="12"/>
              </w:rPr>
              <w:t>±</w:t>
            </w:r>
          </w:p>
          <w:p w:rsidR="000740F2" w:rsidRDefault="000740F2" w:rsidP="00DC0FB2">
            <w:pPr>
              <w:pStyle w:val="TableParagraph"/>
              <w:spacing w:line="145" w:lineRule="exact"/>
              <w:ind w:left="465"/>
              <w:rPr>
                <w:sz w:val="12"/>
              </w:rPr>
            </w:pPr>
            <w:r>
              <w:rPr>
                <w:color w:val="231F20"/>
                <w:w w:val="110"/>
                <w:sz w:val="12"/>
              </w:rPr>
              <w:t>P value</w:t>
            </w:r>
          </w:p>
        </w:tc>
        <w:tc>
          <w:tcPr>
            <w:tcW w:w="899" w:type="dxa"/>
            <w:tcBorders>
              <w:bottom w:val="single" w:sz="4" w:space="0" w:color="231F20"/>
            </w:tcBorders>
          </w:tcPr>
          <w:p w:rsidR="000740F2" w:rsidRDefault="000740F2" w:rsidP="00DC0FB2">
            <w:pPr>
              <w:pStyle w:val="TableParagraph"/>
              <w:spacing w:before="17"/>
              <w:ind w:left="14"/>
              <w:rPr>
                <w:sz w:val="12"/>
              </w:rPr>
            </w:pPr>
            <w:r>
              <w:rPr>
                <w:color w:val="231F20"/>
                <w:w w:val="125"/>
                <w:sz w:val="12"/>
              </w:rPr>
              <w:t>87.14</w:t>
            </w:r>
          </w:p>
          <w:p w:rsidR="000740F2" w:rsidRDefault="000740F2" w:rsidP="00DC0FB2">
            <w:pPr>
              <w:pStyle w:val="TableParagraph"/>
              <w:spacing w:before="6"/>
              <w:ind w:left="14"/>
              <w:rPr>
                <w:sz w:val="12"/>
              </w:rPr>
            </w:pPr>
            <w:r>
              <w:rPr>
                <w:rFonts w:ascii="Lucida Sans Unicode" w:hAnsi="Lucida Sans Unicode"/>
                <w:color w:val="231F20"/>
                <w:w w:val="120"/>
                <w:sz w:val="12"/>
              </w:rPr>
              <w:t>±</w:t>
            </w:r>
            <w:r>
              <w:rPr>
                <w:color w:val="231F20"/>
                <w:w w:val="120"/>
                <w:sz w:val="12"/>
              </w:rPr>
              <w:t>20.29</w:t>
            </w:r>
          </w:p>
          <w:p w:rsidR="000740F2" w:rsidRDefault="000740F2" w:rsidP="00DC0FB2">
            <w:pPr>
              <w:pStyle w:val="TableParagraph"/>
              <w:spacing w:before="3"/>
              <w:ind w:left="14"/>
              <w:rPr>
                <w:sz w:val="12"/>
              </w:rPr>
            </w:pPr>
            <w:r>
              <w:rPr>
                <w:color w:val="231F20"/>
                <w:w w:val="125"/>
                <w:sz w:val="12"/>
              </w:rPr>
              <w:t>0.110</w:t>
            </w:r>
          </w:p>
        </w:tc>
        <w:tc>
          <w:tcPr>
            <w:tcW w:w="1343" w:type="dxa"/>
            <w:tcBorders>
              <w:bottom w:val="single" w:sz="4" w:space="0" w:color="231F20"/>
            </w:tcBorders>
          </w:tcPr>
          <w:p w:rsidR="000740F2" w:rsidRDefault="000740F2" w:rsidP="00DC0FB2">
            <w:pPr>
              <w:pStyle w:val="TableParagraph"/>
              <w:spacing w:before="17"/>
              <w:ind w:left="340" w:right="428"/>
              <w:jc w:val="center"/>
              <w:rPr>
                <w:sz w:val="12"/>
              </w:rPr>
            </w:pPr>
            <w:r>
              <w:rPr>
                <w:color w:val="231F20"/>
                <w:w w:val="125"/>
                <w:sz w:val="12"/>
              </w:rPr>
              <w:t>77.17</w:t>
            </w:r>
          </w:p>
          <w:p w:rsidR="000740F2" w:rsidRDefault="000740F2" w:rsidP="00DC0FB2">
            <w:pPr>
              <w:pStyle w:val="TableParagraph"/>
              <w:spacing w:before="6"/>
              <w:ind w:left="431" w:right="423"/>
              <w:jc w:val="center"/>
              <w:rPr>
                <w:sz w:val="12"/>
              </w:rPr>
            </w:pPr>
            <w:r>
              <w:rPr>
                <w:rFonts w:ascii="Lucida Sans Unicode" w:hAnsi="Lucida Sans Unicode"/>
                <w:color w:val="231F20"/>
                <w:w w:val="120"/>
                <w:sz w:val="12"/>
              </w:rPr>
              <w:t>±</w:t>
            </w:r>
            <w:r>
              <w:rPr>
                <w:color w:val="231F20"/>
                <w:w w:val="120"/>
                <w:sz w:val="12"/>
              </w:rPr>
              <w:t>19.24</w:t>
            </w:r>
          </w:p>
        </w:tc>
        <w:tc>
          <w:tcPr>
            <w:tcW w:w="885" w:type="dxa"/>
            <w:tcBorders>
              <w:bottom w:val="single" w:sz="4" w:space="0" w:color="231F20"/>
            </w:tcBorders>
          </w:tcPr>
          <w:p w:rsidR="000740F2" w:rsidRDefault="000740F2" w:rsidP="00DC0FB2">
            <w:pPr>
              <w:pStyle w:val="TableParagraph"/>
              <w:spacing w:before="17"/>
              <w:ind w:left="455"/>
              <w:rPr>
                <w:sz w:val="12"/>
              </w:rPr>
            </w:pPr>
            <w:r>
              <w:rPr>
                <w:color w:val="231F20"/>
                <w:w w:val="125"/>
                <w:sz w:val="12"/>
              </w:rPr>
              <w:t>81.15</w:t>
            </w:r>
          </w:p>
          <w:p w:rsidR="000740F2" w:rsidRDefault="000740F2" w:rsidP="00DC0FB2">
            <w:pPr>
              <w:pStyle w:val="TableParagraph"/>
              <w:spacing w:before="6"/>
              <w:ind w:left="455" w:right="-15"/>
              <w:rPr>
                <w:sz w:val="12"/>
              </w:rPr>
            </w:pPr>
            <w:r>
              <w:rPr>
                <w:rFonts w:ascii="Lucida Sans Unicode" w:hAnsi="Lucida Sans Unicode"/>
                <w:color w:val="231F20"/>
                <w:spacing w:val="-1"/>
                <w:w w:val="120"/>
                <w:sz w:val="12"/>
              </w:rPr>
              <w:t>±</w:t>
            </w:r>
            <w:r>
              <w:rPr>
                <w:color w:val="231F20"/>
                <w:spacing w:val="-1"/>
                <w:w w:val="120"/>
                <w:sz w:val="12"/>
              </w:rPr>
              <w:t>18.86</w:t>
            </w:r>
          </w:p>
        </w:tc>
        <w:tc>
          <w:tcPr>
            <w:tcW w:w="907" w:type="dxa"/>
            <w:tcBorders>
              <w:bottom w:val="single" w:sz="4" w:space="0" w:color="231F20"/>
            </w:tcBorders>
          </w:tcPr>
          <w:p w:rsidR="000740F2" w:rsidRDefault="000740F2" w:rsidP="00DC0FB2">
            <w:pPr>
              <w:pStyle w:val="TableParagraph"/>
              <w:rPr>
                <w:rFonts w:ascii="Times New Roman"/>
                <w:sz w:val="14"/>
              </w:rPr>
            </w:pPr>
          </w:p>
        </w:tc>
        <w:tc>
          <w:tcPr>
            <w:tcW w:w="894" w:type="dxa"/>
            <w:tcBorders>
              <w:bottom w:val="single" w:sz="4" w:space="0" w:color="231F20"/>
            </w:tcBorders>
          </w:tcPr>
          <w:p w:rsidR="000740F2" w:rsidRDefault="000740F2" w:rsidP="00DC0FB2">
            <w:pPr>
              <w:pStyle w:val="TableParagraph"/>
              <w:spacing w:before="17"/>
              <w:ind w:left="5"/>
              <w:rPr>
                <w:sz w:val="12"/>
              </w:rPr>
            </w:pPr>
            <w:r>
              <w:rPr>
                <w:color w:val="231F20"/>
                <w:w w:val="125"/>
                <w:sz w:val="12"/>
              </w:rPr>
              <w:t>75.25</w:t>
            </w:r>
          </w:p>
          <w:p w:rsidR="000740F2" w:rsidRDefault="000740F2" w:rsidP="00DC0FB2">
            <w:pPr>
              <w:pStyle w:val="TableParagraph"/>
              <w:spacing w:before="6"/>
              <w:ind w:left="5"/>
              <w:rPr>
                <w:color w:val="231F20"/>
                <w:w w:val="120"/>
                <w:sz w:val="12"/>
              </w:rPr>
            </w:pPr>
            <w:r>
              <w:rPr>
                <w:rFonts w:ascii="Lucida Sans Unicode" w:hAnsi="Lucida Sans Unicode"/>
                <w:color w:val="231F20"/>
                <w:w w:val="120"/>
                <w:sz w:val="12"/>
              </w:rPr>
              <w:t>±</w:t>
            </w:r>
            <w:r>
              <w:rPr>
                <w:color w:val="231F20"/>
                <w:w w:val="120"/>
                <w:sz w:val="12"/>
              </w:rPr>
              <w:t>13.88</w:t>
            </w:r>
          </w:p>
          <w:p w:rsidR="000740F2" w:rsidRDefault="000740F2" w:rsidP="00DC0FB2">
            <w:pPr>
              <w:pStyle w:val="TableParagraph"/>
              <w:spacing w:before="6"/>
              <w:ind w:left="5"/>
              <w:rPr>
                <w:sz w:val="12"/>
              </w:rPr>
            </w:pPr>
            <w:r w:rsidRPr="000740F2">
              <w:rPr>
                <w:color w:val="231F20"/>
                <w:w w:val="120"/>
                <w:sz w:val="12"/>
              </w:rPr>
              <w:t>+0.4982</w:t>
            </w:r>
          </w:p>
        </w:tc>
        <w:tc>
          <w:tcPr>
            <w:tcW w:w="1343" w:type="dxa"/>
            <w:tcBorders>
              <w:bottom w:val="single" w:sz="4" w:space="0" w:color="231F20"/>
            </w:tcBorders>
          </w:tcPr>
          <w:p w:rsidR="000740F2" w:rsidRDefault="000740F2" w:rsidP="00DC0FB2">
            <w:pPr>
              <w:pStyle w:val="TableParagraph"/>
              <w:spacing w:before="17"/>
              <w:ind w:left="331" w:right="428"/>
              <w:jc w:val="center"/>
              <w:rPr>
                <w:sz w:val="12"/>
              </w:rPr>
            </w:pPr>
            <w:r>
              <w:rPr>
                <w:color w:val="231F20"/>
                <w:w w:val="125"/>
                <w:sz w:val="12"/>
              </w:rPr>
              <w:t>80.17</w:t>
            </w:r>
          </w:p>
          <w:p w:rsidR="000740F2" w:rsidRDefault="000740F2" w:rsidP="00DC0FB2">
            <w:pPr>
              <w:pStyle w:val="TableParagraph"/>
              <w:spacing w:before="6"/>
              <w:ind w:left="428" w:right="428"/>
              <w:jc w:val="center"/>
              <w:rPr>
                <w:sz w:val="12"/>
              </w:rPr>
            </w:pPr>
            <w:r>
              <w:rPr>
                <w:rFonts w:ascii="Lucida Sans Unicode" w:hAnsi="Lucida Sans Unicode"/>
                <w:color w:val="231F20"/>
                <w:w w:val="120"/>
                <w:sz w:val="12"/>
              </w:rPr>
              <w:t>±</w:t>
            </w:r>
            <w:r>
              <w:rPr>
                <w:color w:val="231F20"/>
                <w:w w:val="120"/>
                <w:sz w:val="12"/>
              </w:rPr>
              <w:t>16.56</w:t>
            </w:r>
          </w:p>
        </w:tc>
        <w:tc>
          <w:tcPr>
            <w:tcW w:w="889" w:type="dxa"/>
            <w:tcBorders>
              <w:bottom w:val="single" w:sz="4" w:space="0" w:color="231F20"/>
            </w:tcBorders>
          </w:tcPr>
          <w:p w:rsidR="000740F2" w:rsidRDefault="000740F2" w:rsidP="00DC0FB2">
            <w:pPr>
              <w:pStyle w:val="TableParagraph"/>
              <w:spacing w:before="17"/>
              <w:ind w:left="451"/>
              <w:rPr>
                <w:sz w:val="12"/>
              </w:rPr>
            </w:pPr>
            <w:r>
              <w:rPr>
                <w:color w:val="231F20"/>
                <w:w w:val="125"/>
                <w:sz w:val="12"/>
              </w:rPr>
              <w:t>76.41</w:t>
            </w:r>
          </w:p>
          <w:p w:rsidR="000740F2" w:rsidRDefault="000740F2" w:rsidP="00DC0FB2">
            <w:pPr>
              <w:pStyle w:val="TableParagraph"/>
              <w:spacing w:before="6"/>
              <w:ind w:left="451" w:right="-15"/>
              <w:rPr>
                <w:sz w:val="12"/>
              </w:rPr>
            </w:pPr>
            <w:r>
              <w:rPr>
                <w:rFonts w:ascii="Lucida Sans Unicode" w:hAnsi="Lucida Sans Unicode"/>
                <w:color w:val="231F20"/>
                <w:w w:val="120"/>
                <w:sz w:val="12"/>
              </w:rPr>
              <w:t>±</w:t>
            </w:r>
            <w:r>
              <w:rPr>
                <w:color w:val="231F20"/>
                <w:w w:val="120"/>
                <w:sz w:val="12"/>
              </w:rPr>
              <w:t>17.72</w:t>
            </w:r>
          </w:p>
        </w:tc>
        <w:tc>
          <w:tcPr>
            <w:tcW w:w="119" w:type="dxa"/>
            <w:tcBorders>
              <w:bottom w:val="single" w:sz="4" w:space="0" w:color="231F20"/>
            </w:tcBorders>
          </w:tcPr>
          <w:p w:rsidR="000740F2" w:rsidRDefault="000740F2" w:rsidP="00DC0FB2">
            <w:pPr>
              <w:pStyle w:val="TableParagraph"/>
              <w:rPr>
                <w:rFonts w:ascii="Times New Roman"/>
                <w:sz w:val="14"/>
              </w:rPr>
            </w:pPr>
          </w:p>
        </w:tc>
      </w:tr>
    </w:tbl>
    <w:p w:rsidR="000740F2" w:rsidRDefault="000740F2" w:rsidP="000740F2"/>
    <w:p w:rsidR="000740F2" w:rsidRDefault="000740F2" w:rsidP="000740F2">
      <w:r>
        <w:t xml:space="preserve">We found that the </w:t>
      </w:r>
      <w:proofErr w:type="spellStart"/>
      <w:r>
        <w:t>iNOS</w:t>
      </w:r>
      <w:proofErr w:type="spellEnd"/>
      <w:r>
        <w:t xml:space="preserve"> rs2779249 CA genotype was over- represented in the CON individuals (protective effect) (p = 0.009; OR = 0.46; CI 0.27–0.79) (Fig. 1a). Similarly, the CA genotype was signiﬁcantly overrepresented in the control participants compared to the TEN </w:t>
      </w:r>
      <w:proofErr w:type="gramStart"/>
      <w:r>
        <w:t>subset</w:t>
      </w:r>
      <w:proofErr w:type="gramEnd"/>
      <w:r>
        <w:t xml:space="preserve"> (p = 0.005; OR = 0.40; CI 0.22–0.74) (Fig. 1b). How- ever, no associations were noted when the Achilles RUP subset participants were investigated and compared to the control participants (p = 0.600).</w:t>
      </w:r>
    </w:p>
    <w:p w:rsidR="000740F2" w:rsidRDefault="000740F2" w:rsidP="000740F2">
      <w:r>
        <w:lastRenderedPageBreak/>
        <w:t xml:space="preserve">We observed the CA genotype of the same variant to be over- represented in the male CON participants (p = 0.016; OR = 0.37; CI = 0.18–0.76) (Fig. 1c), signiﬁcantly overrepresented in the male CON participants in comparison to the male TEN subset (p = 0.007; OR = 0.30; CI = 0.13–0.69), but not signiﬁcant in the male RUP subset (p = 0.660). There were no signiﬁcant differences in the genotype distribution for the </w:t>
      </w:r>
      <w:proofErr w:type="spellStart"/>
      <w:r>
        <w:t>iNOS</w:t>
      </w:r>
      <w:proofErr w:type="spellEnd"/>
      <w:r>
        <w:t xml:space="preserve"> variant rs2779249 when only females were compared between the CON and ATP participants (p = 0.350), CON and TEN </w:t>
      </w:r>
      <w:proofErr w:type="gramStart"/>
      <w:r>
        <w:t>subset</w:t>
      </w:r>
      <w:proofErr w:type="gramEnd"/>
      <w:r>
        <w:t xml:space="preserve"> (p = 0.330), and CON and RUP sub- set (p = 0.720).</w:t>
      </w:r>
    </w:p>
    <w:p w:rsidR="000740F2" w:rsidRDefault="000740F2" w:rsidP="000740F2">
      <w:r>
        <w:t xml:space="preserve">No signiﬁcant differences were observed in the genotype distribution of the </w:t>
      </w:r>
      <w:proofErr w:type="spellStart"/>
      <w:r>
        <w:t>iNOS</w:t>
      </w:r>
      <w:proofErr w:type="spellEnd"/>
      <w:r>
        <w:t xml:space="preserve"> gene rs2248814 variant within all investigated participant subsets; all CON participants and all ATP participants (p = 0.760); female CON and female ATP participants (p = 0.500); and male CON and male ATP participants (p = 0.910).</w:t>
      </w:r>
    </w:p>
    <w:p w:rsidR="000740F2" w:rsidRDefault="000740F2" w:rsidP="000740F2">
      <w:r>
        <w:t>There were no deviations from HWE in the investigated participant groups, except where signiﬁcant differences in the genotype distribution were observed (supplementary Table 2). When this is</w:t>
      </w:r>
      <w:r w:rsidR="00774E83">
        <w:t xml:space="preserve"> </w:t>
      </w:r>
      <w:r>
        <w:t xml:space="preserve">the case, both the mixed participant sample and the CON </w:t>
      </w:r>
      <w:proofErr w:type="spellStart"/>
      <w:r>
        <w:t>partici</w:t>
      </w:r>
      <w:proofErr w:type="spellEnd"/>
      <w:r>
        <w:t xml:space="preserve">- pant sample remained in HWE, however the ATP participant sample violated HWE. Raw haplotype data between the CON and ATP participant group can be found in supplementary (supplementary Fig. 3). There were no signiﬁcant haplotypic effects observed, global haplotype association p = 0.077. There were no signiﬁcant differences in allele distribution between the entire CON and entire ATP participant groups for both </w:t>
      </w:r>
      <w:proofErr w:type="spellStart"/>
      <w:r>
        <w:t>iNOS</w:t>
      </w:r>
      <w:proofErr w:type="spellEnd"/>
      <w:r>
        <w:t xml:space="preserve"> rs2779249 (C/A) (supplementary Fig. 2a) and rs2248814 (G/A) (supplementary Fig. 2b) variants.</w:t>
      </w:r>
    </w:p>
    <w:p w:rsidR="000740F2" w:rsidRPr="00774E83" w:rsidRDefault="000740F2" w:rsidP="000740F2">
      <w:pPr>
        <w:rPr>
          <w:b/>
        </w:rPr>
      </w:pPr>
      <w:r w:rsidRPr="000740F2">
        <w:rPr>
          <w:b/>
        </w:rPr>
        <w:t>Discussion</w:t>
      </w:r>
    </w:p>
    <w:p w:rsidR="000740F2" w:rsidRDefault="000740F2" w:rsidP="000740F2">
      <w:r>
        <w:t xml:space="preserve">In this study we found the </w:t>
      </w:r>
      <w:proofErr w:type="spellStart"/>
      <w:r>
        <w:t>iNOS</w:t>
      </w:r>
      <w:proofErr w:type="spellEnd"/>
      <w:r>
        <w:t xml:space="preserve"> rs2779249 variant inﬂuenced the risk of ATP in a British cohort. Speciﬁcally, the CA genotype was enriched in the CON participant group, inferring the genotype as a contributing factor to reducing the risk of ATP. Our results are consistent with the preliminary ﬁndings of a study by Nell et al. in 2012.20 In their study consisting of 78 individuals diagnosed with Achilles tendinopathy, they reported a marginally signiﬁcant protective effect of the CA genotype (p = 0.049). In our study we also assessed for sex differences and observed a signiﬁcant over- representation of the CA genotype in the male CON participant group. However, this was not observed in females. It is important to note that genetic variants observed to associate with complex pathologies are contributing factors to the total risk and are not to be interpreted as directly responsible. Therefore, our data suggests the rs2779249 CA genotype contributes to a reduction in the risk of Achilles tendon injuries.</w:t>
      </w:r>
    </w:p>
    <w:p w:rsidR="00774E83" w:rsidRDefault="000740F2" w:rsidP="00774E83">
      <w:r>
        <w:t xml:space="preserve">It is not fully understood why the </w:t>
      </w:r>
      <w:proofErr w:type="spellStart"/>
      <w:r>
        <w:t>iNOS</w:t>
      </w:r>
      <w:proofErr w:type="spellEnd"/>
      <w:r>
        <w:t xml:space="preserve"> rs2779249 CA variant exerts a protective effect against ATP, however NO is an important messenger molecule mediating both inﬂammatory and apoptotic pathways,21 and an appropriate balance of NO is essential for healthy cellular processes.22 It is known that the C allele of the rs2779249 variant is associated with a 4.73 fold lower transcriptional activity than the A allele.14 Possession of the CC genotype</w:t>
      </w:r>
      <w:r w:rsidR="00774E83">
        <w:t xml:space="preserve"> may infer a state in which NO levels are limited compared to those with the AA genotype. Therefore, it might be reasonable to assume that heterozygous CA individuals are producing an appropriate amount of NO, which may lower the risk of sustaining a tendon injury, compared to those with the CC or AA genotype who may be producing too little or too much NO respectively.</w:t>
      </w:r>
    </w:p>
    <w:p w:rsidR="00774E83" w:rsidRDefault="00774E83" w:rsidP="00774E83">
      <w:r>
        <w:t xml:space="preserve">Dakin et al. investigated Achilles tendon biopsies from patients to determine whether an inﬂammatory process is a feature of Achilles tendinopathy and rupture and observed evidence    of chronic inﬂammation.23 Their investigation found complex macrophage activation protein signatures and observed target molecules expressed in patient tissue samples from interferon, </w:t>
      </w:r>
      <w:r>
        <w:lastRenderedPageBreak/>
        <w:t xml:space="preserve">NFKB, STAT6 and GCR activation pathways. NFKB’s are known to control the expression of genes involved in cell adhesion, angio- genesis, apoptosis and the cell cycle,24 and the NFKB family are responsible for initiating expression of iNOS25 and therefore are crucial for </w:t>
      </w:r>
      <w:proofErr w:type="spellStart"/>
      <w:r>
        <w:t>iNOS</w:t>
      </w:r>
      <w:proofErr w:type="spellEnd"/>
      <w:r>
        <w:t xml:space="preserve"> regulation.26</w:t>
      </w:r>
    </w:p>
    <w:p w:rsidR="00774E83" w:rsidRDefault="00774E83" w:rsidP="00774E83">
      <w:proofErr w:type="spellStart"/>
      <w:r>
        <w:t>iNOS</w:t>
      </w:r>
      <w:proofErr w:type="spellEnd"/>
      <w:r>
        <w:t xml:space="preserve"> is the predominant enzyme from the NOS family involved in inﬂammation27 and has been described as a downstream inﬂammatory mediator in multiple cell types, including skeletal muscle cells.28  Inducible NO has been highlighted as an important messenger in the regulation of myogenic precursor cell fate and the inﬂammatory response, indicating inﬂammation dependent muscle healing in a damage/regeneration mouse model.28 Also evidencing that </w:t>
      </w:r>
      <w:proofErr w:type="spellStart"/>
      <w:r>
        <w:t>iNOS</w:t>
      </w:r>
      <w:proofErr w:type="spellEnd"/>
      <w:r>
        <w:t xml:space="preserve">  is scarcely expressed in healthy skeletal muscle.28  Animal studies have demonstrated the importance    of </w:t>
      </w:r>
      <w:proofErr w:type="spellStart"/>
      <w:r>
        <w:t>iNOS</w:t>
      </w:r>
      <w:proofErr w:type="spellEnd"/>
      <w:r>
        <w:t xml:space="preserve"> in promoting tendon healing following injury.29 From a clinical perspective, there has been interest in the epigenetic modiﬁcation of </w:t>
      </w:r>
      <w:proofErr w:type="spellStart"/>
      <w:r>
        <w:t>iNOS</w:t>
      </w:r>
      <w:proofErr w:type="spellEnd"/>
      <w:r>
        <w:t xml:space="preserve"> activity in controlling symptoms of chronic Achilles tendinopathy. GTN skin patches liberate NO into the local tissues. It has been shown to be effective in several studies in the management of tendinopathy.30</w:t>
      </w:r>
    </w:p>
    <w:p w:rsidR="00774E83" w:rsidRDefault="00774E83" w:rsidP="00774E83">
      <w:r>
        <w:t xml:space="preserve">Although we have found that the </w:t>
      </w:r>
      <w:proofErr w:type="spellStart"/>
      <w:r>
        <w:t>iNOS</w:t>
      </w:r>
      <w:proofErr w:type="spellEnd"/>
      <w:r>
        <w:t xml:space="preserve"> rs2779249 CA genotype reduces the risk of ATP, our study does have some limitations. Firstly, although our study is adequately powered to detect associations in the entire cohort, stratifying by sex would have underpowered this analysis and therefore our sex speciﬁc data should be viewed with caution. Secondly, our study is limited to a single ethnic group and should be repeated in a </w:t>
      </w:r>
      <w:proofErr w:type="spellStart"/>
      <w:proofErr w:type="gramStart"/>
      <w:r>
        <w:t>non Caucasian</w:t>
      </w:r>
      <w:proofErr w:type="spellEnd"/>
      <w:proofErr w:type="gramEnd"/>
      <w:r>
        <w:t xml:space="preserve"> cohort. Finally, it is now known that epigenetic factors play a signiﬁcant part in the predisposition to musculoskeletal injury4 and therefore further studies should examine the role of DNA methylation and histone modiﬁcation in modifying the impact of genotype on the risk of these injuries.</w:t>
      </w:r>
    </w:p>
    <w:p w:rsidR="00774E83" w:rsidRPr="00774E83" w:rsidRDefault="00774E83" w:rsidP="00774E83">
      <w:pPr>
        <w:rPr>
          <w:b/>
        </w:rPr>
      </w:pPr>
      <w:r w:rsidRPr="00774E83">
        <w:rPr>
          <w:b/>
        </w:rPr>
        <w:t>Conclusion</w:t>
      </w:r>
    </w:p>
    <w:p w:rsidR="00774E83" w:rsidRDefault="00774E83" w:rsidP="00774E83">
      <w:r>
        <w:t xml:space="preserve">In summary, we have identiﬁed the </w:t>
      </w:r>
      <w:proofErr w:type="spellStart"/>
      <w:r>
        <w:t>iNOS</w:t>
      </w:r>
      <w:proofErr w:type="spellEnd"/>
      <w:r>
        <w:t xml:space="preserve"> rs2779249 CA </w:t>
      </w:r>
      <w:proofErr w:type="spellStart"/>
      <w:r>
        <w:t>geno</w:t>
      </w:r>
      <w:proofErr w:type="spellEnd"/>
      <w:r>
        <w:t xml:space="preserve">- type as a protective factor contributing to reducing the risk of ATP. Although this genotype modiﬁes risk, Achilles tendon injuries are complex and likely to arise from multiple interactions between genetic and environmental factors (epigenetics). This research enhances our current understanding of risk factors for ATP, and the </w:t>
      </w:r>
      <w:proofErr w:type="spellStart"/>
      <w:r>
        <w:t>iNOS</w:t>
      </w:r>
      <w:proofErr w:type="spellEnd"/>
      <w:r>
        <w:t xml:space="preserve"> gene remains a suitable candidate for further investigation regarding tendon pathology.</w:t>
      </w:r>
    </w:p>
    <w:p w:rsidR="00774E83" w:rsidRDefault="00774E83" w:rsidP="00774E83"/>
    <w:p w:rsidR="00774E83" w:rsidRDefault="00774E83" w:rsidP="00774E83">
      <w:pPr>
        <w:jc w:val="center"/>
      </w:pPr>
      <w:r>
        <w:rPr>
          <w:rFonts w:ascii="Cambria"/>
          <w:noProof/>
          <w:sz w:val="20"/>
        </w:rPr>
        <w:lastRenderedPageBreak/>
        <w:drawing>
          <wp:inline distT="0" distB="0" distL="0" distR="0" wp14:anchorId="2B67AB89" wp14:editId="432C6D21">
            <wp:extent cx="3064503" cy="5913120"/>
            <wp:effectExtent l="0" t="0" r="0" b="0"/>
            <wp:docPr id="5" name="image3.png" descr="Image of 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 cstate="print"/>
                    <a:stretch>
                      <a:fillRect/>
                    </a:stretch>
                  </pic:blipFill>
                  <pic:spPr>
                    <a:xfrm>
                      <a:off x="0" y="0"/>
                      <a:ext cx="3064503" cy="5913120"/>
                    </a:xfrm>
                    <a:prstGeom prst="rect">
                      <a:avLst/>
                    </a:prstGeom>
                  </pic:spPr>
                </pic:pic>
              </a:graphicData>
            </a:graphic>
          </wp:inline>
        </w:drawing>
      </w:r>
    </w:p>
    <w:p w:rsidR="00774E83" w:rsidRDefault="00774E83" w:rsidP="00774E83"/>
    <w:p w:rsidR="00774E83" w:rsidRDefault="00774E83" w:rsidP="00774E83"/>
    <w:p w:rsidR="00774E83" w:rsidRPr="00774E83" w:rsidRDefault="00774E83" w:rsidP="00774E83">
      <w:pPr>
        <w:rPr>
          <w:b/>
        </w:rPr>
      </w:pPr>
      <w:r w:rsidRPr="00774E83">
        <w:rPr>
          <w:b/>
        </w:rPr>
        <w:t>Funding</w:t>
      </w:r>
    </w:p>
    <w:p w:rsidR="00774E83" w:rsidRDefault="00774E83" w:rsidP="00774E83"/>
    <w:p w:rsidR="00774E83" w:rsidRDefault="00774E83" w:rsidP="00774E83">
      <w:r>
        <w:t>The University of Northampton.</w:t>
      </w:r>
    </w:p>
    <w:p w:rsidR="00774E83" w:rsidRDefault="00774E83" w:rsidP="00774E83"/>
    <w:p w:rsidR="00774E83" w:rsidRPr="00774E83" w:rsidRDefault="00774E83" w:rsidP="00774E83">
      <w:pPr>
        <w:rPr>
          <w:b/>
        </w:rPr>
      </w:pPr>
      <w:r w:rsidRPr="00774E83">
        <w:rPr>
          <w:b/>
        </w:rPr>
        <w:t>Competing interests</w:t>
      </w:r>
    </w:p>
    <w:p w:rsidR="00774E83" w:rsidRDefault="00774E83" w:rsidP="00774E83"/>
    <w:p w:rsidR="000740F2" w:rsidRDefault="00774E83" w:rsidP="00774E83">
      <w:r>
        <w:t>The research team conﬁrm that there are no competing interests.</w:t>
      </w:r>
    </w:p>
    <w:p w:rsidR="00774E83" w:rsidRDefault="00774E83" w:rsidP="00774E83"/>
    <w:p w:rsidR="00774E83" w:rsidRPr="00774E83" w:rsidRDefault="00774E83" w:rsidP="00774E83">
      <w:pPr>
        <w:rPr>
          <w:b/>
        </w:rPr>
      </w:pPr>
      <w:r w:rsidRPr="00774E83">
        <w:rPr>
          <w:b/>
        </w:rPr>
        <w:lastRenderedPageBreak/>
        <w:t>Ethics approval</w:t>
      </w:r>
    </w:p>
    <w:p w:rsidR="00774E83" w:rsidRDefault="00774E83" w:rsidP="00774E83"/>
    <w:p w:rsidR="00774E83" w:rsidRDefault="00774E83" w:rsidP="00774E83">
      <w:r>
        <w:t>This research has been approved by the Research Ethics Committee of the Faculty of Health and Society within the University of Northampton, England.</w:t>
      </w:r>
    </w:p>
    <w:p w:rsidR="00774E83" w:rsidRDefault="00774E83" w:rsidP="00774E83"/>
    <w:p w:rsidR="00774E83" w:rsidRPr="00774E83" w:rsidRDefault="00774E83" w:rsidP="00774E83">
      <w:pPr>
        <w:rPr>
          <w:b/>
        </w:rPr>
      </w:pPr>
      <w:r w:rsidRPr="00774E83">
        <w:rPr>
          <w:b/>
        </w:rPr>
        <w:t>Acknowledgements</w:t>
      </w:r>
    </w:p>
    <w:p w:rsidR="00774E83" w:rsidRDefault="00774E83" w:rsidP="00774E83"/>
    <w:p w:rsidR="00774E83" w:rsidRDefault="00774E83" w:rsidP="00774E83">
      <w:r>
        <w:t xml:space="preserve">The author would like to thank Dr Rebecca </w:t>
      </w:r>
      <w:proofErr w:type="spellStart"/>
      <w:r>
        <w:t>Rickaby</w:t>
      </w:r>
      <w:proofErr w:type="spellEnd"/>
      <w:r>
        <w:t xml:space="preserve"> for her involvement in the recruitment of the subjects and phenotypic data collection which has enabled this research.</w:t>
      </w:r>
    </w:p>
    <w:p w:rsidR="00774E83" w:rsidRDefault="00774E83" w:rsidP="00774E83"/>
    <w:p w:rsidR="00774E83" w:rsidRPr="00774E83" w:rsidRDefault="00774E83" w:rsidP="00774E83">
      <w:pPr>
        <w:rPr>
          <w:b/>
        </w:rPr>
      </w:pPr>
      <w:r w:rsidRPr="00774E83">
        <w:rPr>
          <w:b/>
        </w:rPr>
        <w:t>Appendix A. Supplementary data</w:t>
      </w:r>
    </w:p>
    <w:p w:rsidR="00774E83" w:rsidRDefault="00774E83" w:rsidP="00774E83"/>
    <w:p w:rsidR="00774E83" w:rsidRDefault="00774E83" w:rsidP="00774E83">
      <w:r>
        <w:t xml:space="preserve">Supplementary material related to this article can be found, in the online version, at </w:t>
      </w:r>
      <w:proofErr w:type="spellStart"/>
      <w:proofErr w:type="gramStart"/>
      <w:r>
        <w:t>doi:https</w:t>
      </w:r>
      <w:proofErr w:type="spellEnd"/>
      <w:r>
        <w:t>://doi.org/10.1016/j.jsams.2019.11</w:t>
      </w:r>
      <w:proofErr w:type="gramEnd"/>
      <w:r>
        <w:t>. 001.</w:t>
      </w:r>
    </w:p>
    <w:p w:rsidR="00774E83" w:rsidRDefault="00774E83" w:rsidP="00774E83"/>
    <w:p w:rsidR="00774E83" w:rsidRPr="00774E83" w:rsidRDefault="00774E83" w:rsidP="00774E83">
      <w:pPr>
        <w:rPr>
          <w:b/>
        </w:rPr>
      </w:pPr>
      <w:r w:rsidRPr="00774E83">
        <w:rPr>
          <w:b/>
        </w:rPr>
        <w:t>References</w:t>
      </w:r>
    </w:p>
    <w:p w:rsidR="00774E83" w:rsidRDefault="00774E83" w:rsidP="00774E83"/>
    <w:p w:rsidR="00774E83" w:rsidRDefault="00774E83" w:rsidP="00774E83">
      <w:r>
        <w:t>1.</w:t>
      </w:r>
      <w:r>
        <w:tab/>
      </w:r>
      <w:proofErr w:type="spellStart"/>
      <w:r>
        <w:t>Yasui</w:t>
      </w:r>
      <w:proofErr w:type="spellEnd"/>
      <w:r>
        <w:t xml:space="preserve"> Y, </w:t>
      </w:r>
      <w:proofErr w:type="spellStart"/>
      <w:r>
        <w:t>Tonogai</w:t>
      </w:r>
      <w:proofErr w:type="spellEnd"/>
      <w:r>
        <w:t xml:space="preserve"> I, Rosenbaum AJ et al. The risk of Achilles tendon rupture in the patients with Achilles tendinopathy: healthcare database analysis in the United States. Biomed Res Int 2017. Available at: https://doi.org/10.1155/2017/7021862. Accessed 21 June 2017.</w:t>
      </w:r>
    </w:p>
    <w:p w:rsidR="00774E83" w:rsidRDefault="00774E83" w:rsidP="00774E83">
      <w:r>
        <w:t>2.</w:t>
      </w:r>
      <w:r>
        <w:tab/>
        <w:t xml:space="preserve">Freedman B, Gordon J, </w:t>
      </w:r>
      <w:proofErr w:type="spellStart"/>
      <w:r>
        <w:t>Soslowsky</w:t>
      </w:r>
      <w:proofErr w:type="spellEnd"/>
      <w:r>
        <w:t xml:space="preserve"> L et al. The Achilles tendon: fundamental properties and mechanisms governing healing. Muscles Ligaments Tendons J 2014; 4(2):245–255.</w:t>
      </w:r>
    </w:p>
    <w:p w:rsidR="00774E83" w:rsidRDefault="00774E83" w:rsidP="00774E83">
      <w:r>
        <w:t>3.</w:t>
      </w:r>
      <w:r>
        <w:tab/>
        <w:t xml:space="preserve">Raleigh SM, Collins M. Gene variants that predispose to Achilles tendon injuries: an update on recent advances, </w:t>
      </w:r>
      <w:proofErr w:type="spellStart"/>
      <w:r>
        <w:t>InTech</w:t>
      </w:r>
      <w:proofErr w:type="spellEnd"/>
      <w:r>
        <w:t>, 2012. Available at: https://dx.doi.org/10. 5772/33927. Accessed 13 May 2019.</w:t>
      </w:r>
    </w:p>
    <w:p w:rsidR="00774E83" w:rsidRDefault="00774E83" w:rsidP="00774E83">
      <w:r>
        <w:t>4.</w:t>
      </w:r>
      <w:r>
        <w:tab/>
        <w:t xml:space="preserve">El Khoury LY, </w:t>
      </w:r>
      <w:proofErr w:type="spellStart"/>
      <w:r>
        <w:t>Rickaby</w:t>
      </w:r>
      <w:proofErr w:type="spellEnd"/>
      <w:r>
        <w:t xml:space="preserve"> R, </w:t>
      </w:r>
      <w:proofErr w:type="spellStart"/>
      <w:r>
        <w:t>Samiric</w:t>
      </w:r>
      <w:proofErr w:type="spellEnd"/>
      <w:r>
        <w:t xml:space="preserve"> T et al. Promoter methylation status of       the TIMP2 and ADAMTS4 genes and patellar tendinopathy. J Sci Med Sport 2018; 21(4):378–382. Available at: https://doi.org/10.1016/j.jsams.2017.08.</w:t>
      </w:r>
    </w:p>
    <w:p w:rsidR="00774E83" w:rsidRDefault="00774E83" w:rsidP="00774E83">
      <w:r>
        <w:t>016. Accessed 15 July 2019.</w:t>
      </w:r>
    </w:p>
    <w:p w:rsidR="00774E83" w:rsidRDefault="00774E83" w:rsidP="00774E83">
      <w:r>
        <w:t>5.</w:t>
      </w:r>
      <w:r>
        <w:tab/>
      </w:r>
      <w:proofErr w:type="spellStart"/>
      <w:r>
        <w:t>Rickaby</w:t>
      </w:r>
      <w:proofErr w:type="spellEnd"/>
      <w:r>
        <w:t xml:space="preserve"> R, El Khoury LY, </w:t>
      </w:r>
      <w:proofErr w:type="spellStart"/>
      <w:r>
        <w:t>Samiric</w:t>
      </w:r>
      <w:proofErr w:type="spellEnd"/>
      <w:r>
        <w:t xml:space="preserve"> T et al. Epigenetic status of the human MMP11 gene promoter is altered in patellar tendinopathy. J Sci Med Sport 2019; 18(1):155–159.</w:t>
      </w:r>
    </w:p>
    <w:p w:rsidR="00774E83" w:rsidRDefault="00774E83" w:rsidP="00774E83">
      <w:r>
        <w:t>6.</w:t>
      </w:r>
      <w:r>
        <w:tab/>
      </w:r>
      <w:proofErr w:type="spellStart"/>
      <w:r>
        <w:t>Bokhari</w:t>
      </w:r>
      <w:proofErr w:type="spellEnd"/>
      <w:r>
        <w:t xml:space="preserve"> AR, Murrell GAC. The role of nitric oxide in tendon healing. J </w:t>
      </w:r>
      <w:proofErr w:type="spellStart"/>
      <w:r>
        <w:t>Shoul</w:t>
      </w:r>
      <w:proofErr w:type="spellEnd"/>
      <w:r>
        <w:t xml:space="preserve">- der Elbow </w:t>
      </w:r>
      <w:proofErr w:type="spellStart"/>
      <w:r>
        <w:t>Surg</w:t>
      </w:r>
      <w:proofErr w:type="spellEnd"/>
      <w:r>
        <w:t xml:space="preserve"> 2012; 21(2):238–244. Available at: https://doi.org/10.1016/j.jse. 2011.11.001. Accessed 12 July 2019.</w:t>
      </w:r>
    </w:p>
    <w:p w:rsidR="00774E83" w:rsidRDefault="00774E83" w:rsidP="00774E83">
      <w:r>
        <w:lastRenderedPageBreak/>
        <w:t>7.</w:t>
      </w:r>
      <w:r>
        <w:tab/>
      </w:r>
      <w:proofErr w:type="spellStart"/>
      <w:r>
        <w:t>Ferrettia</w:t>
      </w:r>
      <w:proofErr w:type="spellEnd"/>
      <w:r>
        <w:t xml:space="preserve"> E, Tremblay E, Thibault M et al. The nitric oxide synthase 2 pathway is targeted by both pro- and anti-inﬂammatory treatments in the immature human intestine. Nitric Oxide 2017; 66:53–61. Available at: https://doi.org/10. 1016/j.niox.2017.03.003. Accessed 12 July 2019.</w:t>
      </w:r>
    </w:p>
    <w:p w:rsidR="00774E83" w:rsidRDefault="00774E83" w:rsidP="00774E83">
      <w:r>
        <w:t>8.</w:t>
      </w:r>
      <w:r>
        <w:tab/>
      </w:r>
      <w:proofErr w:type="spellStart"/>
      <w:r>
        <w:t>Soskic</w:t>
      </w:r>
      <w:proofErr w:type="spellEnd"/>
      <w:proofErr w:type="gramStart"/>
      <w:r>
        <w:t>´  SS</w:t>
      </w:r>
      <w:proofErr w:type="gramEnd"/>
      <w:r>
        <w:t xml:space="preserve">,  </w:t>
      </w:r>
      <w:proofErr w:type="spellStart"/>
      <w:r>
        <w:t>Dobutovic</w:t>
      </w:r>
      <w:proofErr w:type="spellEnd"/>
      <w:r>
        <w:t xml:space="preserve">´  BD,  </w:t>
      </w:r>
      <w:proofErr w:type="spellStart"/>
      <w:r>
        <w:t>Sudar</w:t>
      </w:r>
      <w:proofErr w:type="spellEnd"/>
      <w:r>
        <w:t xml:space="preserve">  EM  et  al.  </w:t>
      </w:r>
      <w:proofErr w:type="gramStart"/>
      <w:r>
        <w:t>Regulation  of</w:t>
      </w:r>
      <w:proofErr w:type="gramEnd"/>
      <w:r>
        <w:t xml:space="preserve">  inducible  nitric  oxide synthase (</w:t>
      </w:r>
      <w:proofErr w:type="spellStart"/>
      <w:r>
        <w:t>iNOS</w:t>
      </w:r>
      <w:proofErr w:type="spellEnd"/>
      <w:r>
        <w:t>) and its potential role in insulin resistance, diabetes and heart failure. Open Cardiovasc Med J 2011; 5:153–163.</w:t>
      </w:r>
    </w:p>
    <w:p w:rsidR="00774E83" w:rsidRDefault="00774E83" w:rsidP="00774E83">
      <w:r>
        <w:t>9.</w:t>
      </w:r>
      <w:r>
        <w:tab/>
        <w:t xml:space="preserve">Lin JH, Wang M-X, Wei A et al. Temporal expression of nitric oxide synthase iso- forms in healing Achilles tendon. J </w:t>
      </w:r>
      <w:proofErr w:type="spellStart"/>
      <w:r>
        <w:t>Orthop</w:t>
      </w:r>
      <w:proofErr w:type="spellEnd"/>
      <w:r>
        <w:t xml:space="preserve"> Res 2001; 19(1):136–142. Available at: https://doi.org/10.1016/S0736-0266(00)00019-X. Accessed 24 September 2019.</w:t>
      </w:r>
    </w:p>
    <w:p w:rsidR="00774E83" w:rsidRDefault="00774E83" w:rsidP="00774E83">
      <w:r>
        <w:t>10.</w:t>
      </w:r>
      <w:r>
        <w:tab/>
        <w:t xml:space="preserve">Xia W, </w:t>
      </w:r>
      <w:proofErr w:type="spellStart"/>
      <w:r>
        <w:t>Szomor</w:t>
      </w:r>
      <w:proofErr w:type="spellEnd"/>
      <w:r>
        <w:t xml:space="preserve"> Z, </w:t>
      </w:r>
      <w:proofErr w:type="spellStart"/>
      <w:r>
        <w:t>Wangm</w:t>
      </w:r>
      <w:proofErr w:type="spellEnd"/>
      <w:r>
        <w:t xml:space="preserve"> Y. Nitric oxide enhances collagen synthesis in cultured human tendon cells. J </w:t>
      </w:r>
      <w:proofErr w:type="spellStart"/>
      <w:r>
        <w:t>Orthop</w:t>
      </w:r>
      <w:proofErr w:type="spellEnd"/>
      <w:r>
        <w:t xml:space="preserve"> Res 2006; 24(2):159–172. Available at: https://doi. org/10.1002/jor.20060. Accessed 12 July 2019.</w:t>
      </w:r>
    </w:p>
    <w:p w:rsidR="00774E83" w:rsidRDefault="00774E83" w:rsidP="00774E83">
      <w:r>
        <w:t>11.</w:t>
      </w:r>
      <w:r>
        <w:tab/>
      </w:r>
      <w:proofErr w:type="spellStart"/>
      <w:r>
        <w:t>Paoloni</w:t>
      </w:r>
      <w:proofErr w:type="spellEnd"/>
      <w:r>
        <w:t xml:space="preserve"> J, Appleyard RC, Nelson J et al. Topical glyceryl trinitrate treatment of chronic </w:t>
      </w:r>
      <w:proofErr w:type="spellStart"/>
      <w:r>
        <w:t>noninsertional</w:t>
      </w:r>
      <w:proofErr w:type="spellEnd"/>
      <w:r>
        <w:t xml:space="preserve"> Achilles tendinopathy. A randomized, double-blind, placebo-controlled trial. J Bone Joint </w:t>
      </w:r>
      <w:proofErr w:type="spellStart"/>
      <w:r>
        <w:t>Surg</w:t>
      </w:r>
      <w:proofErr w:type="spellEnd"/>
      <w:r>
        <w:t xml:space="preserve"> 2004; 86-</w:t>
      </w:r>
      <w:proofErr w:type="gramStart"/>
      <w:r>
        <w:t>A(</w:t>
      </w:r>
      <w:proofErr w:type="gramEnd"/>
      <w:r>
        <w:t>5):916–922.</w:t>
      </w:r>
    </w:p>
    <w:p w:rsidR="00774E83" w:rsidRDefault="00774E83" w:rsidP="00774E83">
      <w:r>
        <w:t>12.</w:t>
      </w:r>
      <w:r>
        <w:tab/>
        <w:t xml:space="preserve">Murrell GAC, Tang G, Appleyard RC et al. Addition of nitric oxide through nitric oxide-paracetamol enhances healing rat Achilles tendon. </w:t>
      </w:r>
      <w:proofErr w:type="spellStart"/>
      <w:r>
        <w:t>Clin</w:t>
      </w:r>
      <w:proofErr w:type="spellEnd"/>
      <w:r>
        <w:t xml:space="preserve"> </w:t>
      </w:r>
      <w:proofErr w:type="spellStart"/>
      <w:r>
        <w:t>Orthop</w:t>
      </w:r>
      <w:proofErr w:type="spellEnd"/>
      <w:r>
        <w:t xml:space="preserve"> </w:t>
      </w:r>
      <w:proofErr w:type="spellStart"/>
      <w:r>
        <w:t>Relat</w:t>
      </w:r>
      <w:proofErr w:type="spellEnd"/>
      <w:r>
        <w:t xml:space="preserve"> R 2008; 466(7):1618–1624. Available at: https://doi.org/10.1007/s11999-008- 0271-y. Accessed 12 July 2019.</w:t>
      </w:r>
    </w:p>
    <w:p w:rsidR="00774E83" w:rsidRDefault="00774E83" w:rsidP="00774E83">
      <w:r>
        <w:t>13.</w:t>
      </w:r>
      <w:r>
        <w:tab/>
      </w:r>
      <w:proofErr w:type="spellStart"/>
      <w:r>
        <w:t>Nikkari</w:t>
      </w:r>
      <w:proofErr w:type="spellEnd"/>
      <w:r>
        <w:t xml:space="preserve"> ST, </w:t>
      </w:r>
      <w:proofErr w:type="spellStart"/>
      <w:r>
        <w:t>Määttä</w:t>
      </w:r>
      <w:proofErr w:type="spellEnd"/>
      <w:r>
        <w:t xml:space="preserve"> KM, </w:t>
      </w:r>
      <w:proofErr w:type="spellStart"/>
      <w:r>
        <w:t>Kunnas</w:t>
      </w:r>
      <w:proofErr w:type="spellEnd"/>
      <w:r>
        <w:t xml:space="preserve"> TA. Functional inducible nitric oxide synthase gene variants associate with hypertension. Medicine 2015; 94(46</w:t>
      </w:r>
      <w:proofErr w:type="gramStart"/>
      <w:r>
        <w:t>):e</w:t>
      </w:r>
      <w:proofErr w:type="gramEnd"/>
      <w:r>
        <w:t>1958.</w:t>
      </w:r>
    </w:p>
    <w:p w:rsidR="00774E83" w:rsidRDefault="00774E83" w:rsidP="00774E83">
      <w:r>
        <w:t>14.</w:t>
      </w:r>
      <w:r>
        <w:tab/>
        <w:t xml:space="preserve">Fu L, Zhao Y, Lu J et al. Functional single nucleotide polymorphism-1026C/A     of inducible nitric oxide synthase gene with increased YY1-binding afﬁnity is associated with hypertension. J </w:t>
      </w:r>
      <w:proofErr w:type="spellStart"/>
      <w:r>
        <w:t>Hypertens</w:t>
      </w:r>
      <w:proofErr w:type="spellEnd"/>
      <w:r>
        <w:t xml:space="preserve"> 2009; 27(5):991–1000.</w:t>
      </w:r>
    </w:p>
    <w:p w:rsidR="00774E83" w:rsidRDefault="00774E83" w:rsidP="00774E83">
      <w:r>
        <w:t>15.</w:t>
      </w:r>
      <w:r>
        <w:tab/>
      </w:r>
      <w:proofErr w:type="spellStart"/>
      <w:r>
        <w:t>Sathyendra</w:t>
      </w:r>
      <w:proofErr w:type="spellEnd"/>
      <w:r>
        <w:t xml:space="preserve"> V, Donahue HJ, </w:t>
      </w:r>
      <w:proofErr w:type="spellStart"/>
      <w:r>
        <w:t>Vrana</w:t>
      </w:r>
      <w:proofErr w:type="spellEnd"/>
      <w:r>
        <w:t xml:space="preserve"> KE et al. Single nucleotide polymorphisms in osteogenic genes in atrophic delayed fracture-healing: a preliminary investigation. J Bone Joint </w:t>
      </w:r>
      <w:proofErr w:type="spellStart"/>
      <w:r>
        <w:t>Surg</w:t>
      </w:r>
      <w:proofErr w:type="spellEnd"/>
      <w:r>
        <w:t xml:space="preserve"> 2014; 96(15):1242–1248.</w:t>
      </w:r>
    </w:p>
    <w:p w:rsidR="00774E83" w:rsidRDefault="00774E83" w:rsidP="00774E83">
      <w:r>
        <w:t>16.</w:t>
      </w:r>
      <w:r>
        <w:tab/>
      </w:r>
      <w:proofErr w:type="spellStart"/>
      <w:r>
        <w:t>Rickaby</w:t>
      </w:r>
      <w:proofErr w:type="spellEnd"/>
      <w:r>
        <w:t xml:space="preserve"> R, El Khoury L, Ribbans WJ et al. Variation within three apoptosis </w:t>
      </w:r>
      <w:proofErr w:type="spellStart"/>
      <w:r>
        <w:t>asso</w:t>
      </w:r>
      <w:proofErr w:type="spellEnd"/>
      <w:r>
        <w:t xml:space="preserve">- </w:t>
      </w:r>
      <w:proofErr w:type="spellStart"/>
      <w:r>
        <w:t>ciated</w:t>
      </w:r>
      <w:proofErr w:type="spellEnd"/>
      <w:r>
        <w:t xml:space="preserve"> genes as potential risk factors for Achilles tendinopathy in a British based case–control cohort. Gene 2015; 571(2):167–171. Available at: https://doi.org/ 10.1016/j.gene.2015.06.010. Accessed 12 July 2019.</w:t>
      </w:r>
    </w:p>
    <w:p w:rsidR="00774E83" w:rsidRDefault="00774E83" w:rsidP="00774E83">
      <w:r>
        <w:t>17.</w:t>
      </w:r>
      <w:r>
        <w:tab/>
        <w:t xml:space="preserve">El Khoury L, Ribbans WJ, Raleigh SM. MMP3 and TIMP2 gene variants as </w:t>
      </w:r>
      <w:proofErr w:type="spellStart"/>
      <w:r>
        <w:t>predis</w:t>
      </w:r>
      <w:proofErr w:type="spellEnd"/>
      <w:r>
        <w:t>- posing factors for Achilles tendon pathologies: attempted replication study in a British case–control cohort. Meta Gene 2016; 9:52–55. Available at: https://doi. org/10.1016/j.mgene.2016.03.007. Accessed 12 July 2019.</w:t>
      </w:r>
    </w:p>
    <w:p w:rsidR="00774E83" w:rsidRDefault="00774E83" w:rsidP="00774E83">
      <w:r>
        <w:t>18.</w:t>
      </w:r>
      <w:r>
        <w:tab/>
      </w:r>
      <w:proofErr w:type="spellStart"/>
      <w:r>
        <w:t>Solé</w:t>
      </w:r>
      <w:proofErr w:type="spellEnd"/>
      <w:r>
        <w:t xml:space="preserve"> X, </w:t>
      </w:r>
      <w:proofErr w:type="spellStart"/>
      <w:r>
        <w:t>Guinó</w:t>
      </w:r>
      <w:proofErr w:type="spellEnd"/>
      <w:r>
        <w:t xml:space="preserve"> E, Valls J et al. </w:t>
      </w:r>
      <w:proofErr w:type="spellStart"/>
      <w:r>
        <w:t>SNPStats</w:t>
      </w:r>
      <w:proofErr w:type="spellEnd"/>
      <w:r>
        <w:t>: a web tool for the analysis of association studies. Bioinformatics 2006; 22(15):1928–1929. Available at: https://doi.org/ 10.1093/bioinformatics/btl268. Accessed 7 September 2019.</w:t>
      </w:r>
    </w:p>
    <w:p w:rsidR="00774E83" w:rsidRDefault="00774E83" w:rsidP="00774E83">
      <w:r>
        <w:t>19.</w:t>
      </w:r>
      <w:r>
        <w:tab/>
      </w:r>
      <w:proofErr w:type="spellStart"/>
      <w:r>
        <w:t>Posthumus</w:t>
      </w:r>
      <w:proofErr w:type="spellEnd"/>
      <w:r>
        <w:t xml:space="preserve"> M, Collins M, van der Merwe L et al. Matrix metalloproteinase genes on chromosome 11q22 and the risk of anterior cruciate ligament (ACL) rupture. </w:t>
      </w:r>
      <w:proofErr w:type="spellStart"/>
      <w:r>
        <w:t>Scand</w:t>
      </w:r>
      <w:proofErr w:type="spellEnd"/>
      <w:r>
        <w:t xml:space="preserve"> J Med Sci Sports 2011; 22(4):523–533. Available at: https://doi.org/ 10.1111/j.1600-0838.2010.</w:t>
      </w:r>
      <w:proofErr w:type="gramStart"/>
      <w:r>
        <w:t>01270.x.</w:t>
      </w:r>
      <w:proofErr w:type="gramEnd"/>
      <w:r>
        <w:t xml:space="preserve"> Accessed 12 July 2019.</w:t>
      </w:r>
    </w:p>
    <w:p w:rsidR="00774E83" w:rsidRDefault="00774E83" w:rsidP="00774E83">
      <w:r>
        <w:lastRenderedPageBreak/>
        <w:t>20.</w:t>
      </w:r>
      <w:r>
        <w:tab/>
        <w:t xml:space="preserve">Nell E, van der Merwe L, Cook J et al. The apoptosis pathway and the genetic predisposition to Achilles tendinopathy. J </w:t>
      </w:r>
      <w:proofErr w:type="spellStart"/>
      <w:r>
        <w:t>Orthop</w:t>
      </w:r>
      <w:proofErr w:type="spellEnd"/>
      <w:r>
        <w:t xml:space="preserve"> Res 2012; 30(11):1719–1724. Available at: https://doi.org/10.1002/jor.22144. Accessed 12 July 2019.</w:t>
      </w:r>
    </w:p>
    <w:p w:rsidR="00774E83" w:rsidRDefault="00774E83" w:rsidP="00774E83">
      <w:r>
        <w:t>21.</w:t>
      </w:r>
      <w:r>
        <w:tab/>
      </w:r>
      <w:proofErr w:type="spellStart"/>
      <w:r>
        <w:t>Vannini</w:t>
      </w:r>
      <w:proofErr w:type="spellEnd"/>
      <w:r>
        <w:t xml:space="preserve"> F, </w:t>
      </w:r>
      <w:proofErr w:type="spellStart"/>
      <w:r>
        <w:t>Kashﬁ</w:t>
      </w:r>
      <w:proofErr w:type="spellEnd"/>
      <w:r>
        <w:t xml:space="preserve"> K, Nath N. The dual role of </w:t>
      </w:r>
      <w:proofErr w:type="spellStart"/>
      <w:r>
        <w:t>iNOS</w:t>
      </w:r>
      <w:proofErr w:type="spellEnd"/>
      <w:r>
        <w:t xml:space="preserve"> in cancer. Redox </w:t>
      </w:r>
      <w:proofErr w:type="spellStart"/>
      <w:r>
        <w:t>Biol</w:t>
      </w:r>
      <w:proofErr w:type="spellEnd"/>
      <w:r>
        <w:t xml:space="preserve"> 2015; 6:334–343. Available at: https://doi.org/10.1016/j.redox.2015.08.009. Accessed 12 July 2019.</w:t>
      </w:r>
    </w:p>
    <w:p w:rsidR="00774E83" w:rsidRDefault="00774E83" w:rsidP="00774E83">
      <w:r>
        <w:t>22.</w:t>
      </w:r>
      <w:r>
        <w:tab/>
        <w:t>Kim J-E, Tannenbaum SR. S-</w:t>
      </w:r>
      <w:proofErr w:type="spellStart"/>
      <w:r>
        <w:t>Nitrosation</w:t>
      </w:r>
      <w:proofErr w:type="spellEnd"/>
      <w:r>
        <w:t xml:space="preserve"> regulates the activation of endogenous procaspase-9 in HT-29 human colon carcinoma cells. J </w:t>
      </w:r>
      <w:proofErr w:type="spellStart"/>
      <w:r>
        <w:t>Biol</w:t>
      </w:r>
      <w:proofErr w:type="spellEnd"/>
      <w:r>
        <w:t xml:space="preserve"> </w:t>
      </w:r>
      <w:proofErr w:type="spellStart"/>
      <w:r>
        <w:t>Chem</w:t>
      </w:r>
      <w:proofErr w:type="spellEnd"/>
      <w:r>
        <w:t xml:space="preserve"> 2004; 279:9758–9764.</w:t>
      </w:r>
    </w:p>
    <w:p w:rsidR="00774E83" w:rsidRDefault="00774E83" w:rsidP="00774E83">
      <w:r>
        <w:t>23.</w:t>
      </w:r>
      <w:r>
        <w:tab/>
        <w:t>Dakin SG, Newton J, Martinez FO et al. Chronic inﬂammation is a feature of Achilles tendinopathy and rupture. Br J Sports Med 2018; 52:359–367. Available at: https://doi.org/10.1136/bjsports-2017-098161. Accessed 12 July 2019.</w:t>
      </w:r>
    </w:p>
    <w:p w:rsidR="00774E83" w:rsidRDefault="00774E83" w:rsidP="00774E83">
      <w:r>
        <w:t>24.</w:t>
      </w:r>
      <w:r>
        <w:tab/>
        <w:t xml:space="preserve">Yeung F, </w:t>
      </w:r>
      <w:proofErr w:type="spellStart"/>
      <w:r>
        <w:t>Hoberg</w:t>
      </w:r>
      <w:proofErr w:type="spellEnd"/>
      <w:r>
        <w:t xml:space="preserve"> JE, Ramsey CS et al. Modulation of NF-KB-dependent transcription and cell survival by the SIRT1 deacetylase. EMBO J 2004; 23(12):2369–2380. Available at: https://doi.org/10.1038/sj.emboj.7600244. Accessed 12 July 2019.</w:t>
      </w:r>
    </w:p>
    <w:p w:rsidR="00774E83" w:rsidRDefault="00774E83" w:rsidP="00774E83">
      <w:r>
        <w:t>25.</w:t>
      </w:r>
      <w:r>
        <w:tab/>
        <w:t xml:space="preserve">Simon PS, Sharman SK, Lu C et al. The NF-KB p65 and p50 homodimer cooperate with IRF8 to activate </w:t>
      </w:r>
      <w:proofErr w:type="spellStart"/>
      <w:r>
        <w:t>iNOS</w:t>
      </w:r>
      <w:proofErr w:type="spellEnd"/>
      <w:r>
        <w:t xml:space="preserve"> transcription. BMC Cancer 2015. Available at: https:// doi.org/10.1186/s12885-015-1808-6. Accessed 3 September 2018.</w:t>
      </w:r>
    </w:p>
    <w:p w:rsidR="00774E83" w:rsidRDefault="00774E83" w:rsidP="00774E83">
      <w:r>
        <w:t>26.</w:t>
      </w:r>
      <w:r>
        <w:tab/>
      </w:r>
      <w:proofErr w:type="spellStart"/>
      <w:r>
        <w:t>Kijeong</w:t>
      </w:r>
      <w:proofErr w:type="spellEnd"/>
      <w:r>
        <w:t xml:space="preserve"> K. Interaction between HSP 70 and </w:t>
      </w:r>
      <w:proofErr w:type="spellStart"/>
      <w:r>
        <w:t>iNOS</w:t>
      </w:r>
      <w:proofErr w:type="spellEnd"/>
      <w:r>
        <w:t xml:space="preserve"> in skeletal muscle injury and repair. J </w:t>
      </w:r>
      <w:proofErr w:type="spellStart"/>
      <w:r>
        <w:t>Exerc</w:t>
      </w:r>
      <w:proofErr w:type="spellEnd"/>
      <w:r>
        <w:t xml:space="preserve"> </w:t>
      </w:r>
      <w:proofErr w:type="spellStart"/>
      <w:r>
        <w:t>Rehabil</w:t>
      </w:r>
      <w:proofErr w:type="spellEnd"/>
      <w:r>
        <w:t xml:space="preserve"> 2015; 11(5):240–243. Available at: https://doi.org/10. 12965/jer.150235. Accessed 12 July 2019.</w:t>
      </w:r>
    </w:p>
    <w:p w:rsidR="00774E83" w:rsidRDefault="00774E83" w:rsidP="00774E83">
      <w:r>
        <w:t>27.</w:t>
      </w:r>
      <w:r>
        <w:tab/>
        <w:t xml:space="preserve">Zamora R, </w:t>
      </w:r>
      <w:proofErr w:type="spellStart"/>
      <w:r>
        <w:t>Vodovotz</w:t>
      </w:r>
      <w:proofErr w:type="spellEnd"/>
      <w:r>
        <w:t xml:space="preserve"> Y, </w:t>
      </w:r>
      <w:proofErr w:type="spellStart"/>
      <w:r>
        <w:t>Billiar</w:t>
      </w:r>
      <w:proofErr w:type="spellEnd"/>
      <w:r>
        <w:t xml:space="preserve"> TR. Inducible nitric oxide synthase and </w:t>
      </w:r>
      <w:proofErr w:type="spellStart"/>
      <w:r>
        <w:t>inﬂamma</w:t>
      </w:r>
      <w:proofErr w:type="spellEnd"/>
      <w:r>
        <w:t>- tory diseases. J Mol Med 2000; 6(5):347–373.</w:t>
      </w:r>
    </w:p>
    <w:p w:rsidR="00774E83" w:rsidRDefault="00774E83" w:rsidP="00774E83">
      <w:r>
        <w:t>28.</w:t>
      </w:r>
      <w:r>
        <w:tab/>
        <w:t xml:space="preserve">Nakazawa H, Chang K, Shinozaki S et al. </w:t>
      </w:r>
      <w:proofErr w:type="spellStart"/>
      <w:r>
        <w:t>iNOS</w:t>
      </w:r>
      <w:proofErr w:type="spellEnd"/>
      <w:r>
        <w:t xml:space="preserve"> as a driver of Inﬂammation and apoptosis in mouse skeletal muscle after burn injury: possible involvement    of sirt1 s-</w:t>
      </w:r>
      <w:proofErr w:type="spellStart"/>
      <w:r>
        <w:t>nitrosylation</w:t>
      </w:r>
      <w:proofErr w:type="spellEnd"/>
      <w:r>
        <w:t xml:space="preserve">-mediated acetylation of p65 NF-KB and p53. </w:t>
      </w:r>
      <w:proofErr w:type="spellStart"/>
      <w:r>
        <w:t>PLoS</w:t>
      </w:r>
      <w:proofErr w:type="spellEnd"/>
      <w:r>
        <w:t xml:space="preserve"> One 2017. Available at: https://doi.org/10.1371/journal.pone.0170391. Accessed 5 September 2018.</w:t>
      </w:r>
    </w:p>
    <w:p w:rsidR="00774E83" w:rsidRDefault="00774E83" w:rsidP="00774E83">
      <w:r>
        <w:t>29.</w:t>
      </w:r>
      <w:r>
        <w:tab/>
        <w:t>Murrell GAC. Using nitric acid to treat tendinopathy. BJSM 2007; 41(4):227–231. Available at: https://doi.org/10.1136/bjsm.2006.034447. Accessed 12 September 2019.</w:t>
      </w:r>
    </w:p>
    <w:p w:rsidR="00774E83" w:rsidRDefault="00774E83" w:rsidP="00774E83">
      <w:r>
        <w:t>30.</w:t>
      </w:r>
      <w:r>
        <w:tab/>
      </w:r>
      <w:proofErr w:type="spellStart"/>
      <w:r>
        <w:t>Challoumas</w:t>
      </w:r>
      <w:proofErr w:type="spellEnd"/>
      <w:r>
        <w:t xml:space="preserve"> D, Kirwan PD, </w:t>
      </w:r>
      <w:proofErr w:type="spellStart"/>
      <w:r>
        <w:t>Borysov</w:t>
      </w:r>
      <w:proofErr w:type="spellEnd"/>
      <w:r>
        <w:t xml:space="preserve"> D, Clifford C, McLean M, Millar NL. Topical glyceryl trinitrate for the treatment of tendinopathies:  a systematic review. BJSM 2019; 53(4):251–262. Available at: https://doi.org/10.1136/ bjsports-2018-099552. Accessed 12 September 2019.</w:t>
      </w:r>
    </w:p>
    <w:sectPr w:rsidR="00774E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F2"/>
    <w:rsid w:val="000740F2"/>
    <w:rsid w:val="00774E83"/>
    <w:rsid w:val="00CD134F"/>
    <w:rsid w:val="00CD1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6200F-7908-47DE-A338-B9CECC58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740F2"/>
    <w:pPr>
      <w:widowControl w:val="0"/>
      <w:autoSpaceDE w:val="0"/>
      <w:autoSpaceDN w:val="0"/>
      <w:spacing w:after="0" w:line="240" w:lineRule="auto"/>
    </w:pPr>
    <w:rPr>
      <w:rFonts w:ascii="Book Antiqua" w:eastAsia="Book Antiqua" w:hAnsi="Book Antiqua" w:cs="Book Antiqua"/>
      <w:sz w:val="16"/>
      <w:szCs w:val="16"/>
      <w:lang w:val="en-US"/>
    </w:rPr>
  </w:style>
  <w:style w:type="character" w:customStyle="1" w:styleId="BodyTextChar">
    <w:name w:val="Body Text Char"/>
    <w:basedOn w:val="DefaultParagraphFont"/>
    <w:link w:val="BodyText"/>
    <w:uiPriority w:val="1"/>
    <w:rsid w:val="000740F2"/>
    <w:rPr>
      <w:rFonts w:ascii="Book Antiqua" w:eastAsia="Book Antiqua" w:hAnsi="Book Antiqua" w:cs="Book Antiqua"/>
      <w:sz w:val="16"/>
      <w:szCs w:val="16"/>
      <w:lang w:val="en-US"/>
    </w:rPr>
  </w:style>
  <w:style w:type="paragraph" w:customStyle="1" w:styleId="TableParagraph">
    <w:name w:val="Table Paragraph"/>
    <w:basedOn w:val="Normal"/>
    <w:uiPriority w:val="1"/>
    <w:qFormat/>
    <w:rsid w:val="000740F2"/>
    <w:pPr>
      <w:widowControl w:val="0"/>
      <w:autoSpaceDE w:val="0"/>
      <w:autoSpaceDN w:val="0"/>
      <w:spacing w:after="0" w:line="240" w:lineRule="auto"/>
    </w:pPr>
    <w:rPr>
      <w:rFonts w:ascii="Book Antiqua" w:eastAsia="Book Antiqua" w:hAnsi="Book Antiqua" w:cs="Book Antiqua"/>
      <w:lang w:val="en-US"/>
    </w:rPr>
  </w:style>
  <w:style w:type="paragraph" w:styleId="BalloonText">
    <w:name w:val="Balloon Text"/>
    <w:basedOn w:val="Normal"/>
    <w:link w:val="BalloonTextChar"/>
    <w:uiPriority w:val="99"/>
    <w:semiHidden/>
    <w:unhideWhenUsed/>
    <w:rsid w:val="00774E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E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3990</Words>
  <Characters>22747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Variability within the human iNOS gene and Achilles tendon injuries: Evidence for a heterozygous advantage effect</vt:lpstr>
    </vt:vector>
  </TitlesOfParts>
  <Company/>
  <LinksUpToDate>false</LinksUpToDate>
  <CharactersWithSpaces>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Variability within the human iNOS gene and Achilles tendon injuries: Evidence for a heterozygous advantage effect</dc:title>
  <dc:subject/>
  <dc:creator>Charlotte Brookes</dc:creator>
  <cp:keywords/>
  <dc:description/>
  <cp:lastModifiedBy>Tania Salam</cp:lastModifiedBy>
  <cp:revision>2</cp:revision>
  <dcterms:created xsi:type="dcterms:W3CDTF">2020-09-07T13:52:00Z</dcterms:created>
  <dcterms:modified xsi:type="dcterms:W3CDTF">2020-09-07T13:52:00Z</dcterms:modified>
</cp:coreProperties>
</file>